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502B9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65B61E86">
      <w:pPr>
        <w:spacing w:after="160" w:line="259" w:lineRule="auto"/>
        <w:rPr>
          <w:rFonts w:ascii="Times New Roman" w:hAnsi="Times New Roman" w:eastAsiaTheme="minorHAnsi" w:cs="Times New Roman"/>
          <w:b/>
        </w:rPr>
      </w:pPr>
    </w:p>
    <w:p w14:paraId="16BDE083">
      <w:pPr>
        <w:spacing w:after="160" w:line="259" w:lineRule="auto"/>
        <w:rPr>
          <w:rFonts w:ascii="Times New Roman" w:hAnsi="Times New Roman" w:eastAsiaTheme="minorHAnsi" w:cs="Times New Roman"/>
          <w:b/>
        </w:rPr>
      </w:pPr>
      <w:bookmarkStart w:id="2" w:name="_Hlk242261092"/>
      <w:r>
        <w:rPr>
          <w:rFonts w:ascii="Times New Roman" w:hAnsi="Times New Roman" w:eastAsiaTheme="minorHAnsi" w:cs="Times New Roman"/>
          <w:b/>
        </w:rPr>
        <w:t xml:space="preserve">   </w:t>
      </w:r>
      <w:r>
        <w:rPr>
          <w:rFonts w:ascii="Times New Roman" w:hAnsi="Times New Roman" w:eastAsiaTheme="minorHAnsi" w:cs="Times New Roman"/>
          <w:b/>
        </w:rPr>
        <w:t xml:space="preserve">                </w:t>
      </w:r>
      <w:r>
        <w:rPr>
          <w:rFonts w:ascii="Times New Roman" w:hAnsi="Times New Roman" w:eastAsiaTheme="minorHAnsi" w:cs="Times New Roman"/>
          <w:b/>
        </w:rPr>
        <w:t xml:space="preserve"> </w:t>
      </w:r>
      <w:r>
        <w:rPr>
          <w:noProof/>
          <w14:ligatures w14:val="standardContextual"/>
        </w:rPr>
        <w:drawing>
          <wp:inline>
            <wp:extent cx="476250" cy="560070"/>
            <wp:effectExtent xmlns:wp="http://schemas.openxmlformats.org/drawingml/2006/wordprocessingDrawing" l="0" t="0" r="0" b="0"/>
            <wp:docPr id="1" descr="C:\Users\ilija\Desktop\RAZNO\GRB.png" name="Slika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Theme="minorHAnsi" w:cs="Times New Roman"/>
          <w:b/>
        </w:rPr>
        <w:t xml:space="preserve">    </w:t>
      </w:r>
    </w:p>
    <w:p w14:paraId="0D5AAF4D">
      <w:pPr>
        <w:spacing w:line="259" w:lineRule="auto"/>
        <w:rPr>
          <w:rFonts w:ascii="Times New Roman" w:hAnsi="Times New Roman" w:eastAsiaTheme="minorHAnsi" w:cs="Times New Roman"/>
          <w:b/>
        </w:rPr>
      </w:pPr>
      <w:r>
        <w:rPr>
          <w:rFonts w:ascii="Times New Roman" w:hAnsi="Times New Roman" w:eastAsiaTheme="minorHAnsi" w:cs="Times New Roman"/>
          <w:b/>
        </w:rPr>
        <w:t xml:space="preserve">  REPUBLIKA   HRVATSKA</w:t>
      </w:r>
      <w:r>
        <w:rPr>
          <w:rFonts w:ascii="Times New Roman" w:hAnsi="Times New Roman" w:eastAsiaTheme="minorHAnsi" w:cs="Times New Roman"/>
          <w:b/>
        </w:rPr>
        <w:t xml:space="preserve"> </w:t>
      </w:r>
      <w:r>
        <w:rPr>
          <w:rFonts w:ascii="Times New Roman" w:hAnsi="Times New Roman" w:eastAsiaTheme="minorHAnsi" w:cs="Times New Roman"/>
          <w:b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b/>
        </w:rPr>
        <w:t xml:space="preserve">                                                                       </w:t>
      </w:r>
      <w:r>
        <w:rPr>
          <w:rFonts w:ascii="Times New Roman" w:hAnsi="Times New Roman" w:eastAsiaTheme="minorHAnsi" w:cs="Times New Roman"/>
          <w:b/>
        </w:rPr>
        <w:t xml:space="preserve">                               </w:t>
      </w:r>
      <w:r>
        <w:rPr>
          <w:rFonts w:ascii="Times New Roman" w:hAnsi="Times New Roman" w:eastAsiaTheme="minorHAnsi" w:cs="Times New Roman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</w:rPr>
        <w:t xml:space="preserve">                  </w:t>
      </w:r>
      <w:r>
        <w:rPr>
          <w:rFonts w:ascii="Times New Roman" w:hAnsi="Times New Roman" w:eastAsiaTheme="minorHAnsi" w:cs="Times New Roman"/>
        </w:rPr>
        <w:t xml:space="preserve">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>
          <w:trHeight w:val="80" w:hRule="atLeast"/>
        </w:trPr>
        <w:tc>
          <w:tcPr>
            <w:tcW w:type="dxa" w:w="6379"/>
            <w:tcBorders/>
          </w:tcPr>
          <w:p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3" w:name="_Hlk128748807"/>
            <w:r>
              <w:rPr>
                <w:rFonts w:ascii="Times New Roman" w:hAnsi="Times New Roman" w:cs="Times New Roman"/>
                <w:b/>
              </w:rPr>
              <w:t xml:space="preserve">SREDNJA ŠKOLA IVANA LUCIĆA TROGIR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Put Muline 2B, 21220 Trogir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KLASA:       </w:t>
            </w:r>
            <w:r>
              <w:rPr>
                <w:rFonts w:ascii="Times New Roman" w:hAnsi="Times New Roman" w:cs="Times New Roman"/>
                <w:noProof/>
              </w:rPr>
              <w:t xml:space="preserve">115-03/26-01/2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Times New Roman" w:hAnsi="Times New Roman" w:cs="Times New Roman"/>
                <w:noProof/>
              </w:rPr>
              <w:t xml:space="preserve">2184-31-26-1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Trogir, 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7.10.2026.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  <w:bookmarkEnd w:id="3"/>
    </w:tbl>
    <w:p w14:paraId="11464003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4F126D89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1100EE53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6BC3998D">
      <w:pPr>
        <w:spacing w:line="276" w:lineRule="auto"/>
        <w:jc w:val="both"/>
        <w:rPr>
          <w:rFonts w:asciiTheme="minorHAnsi" w:hAnsiTheme="minorHAnsi" w:eastAsia="Times New Roman" w:cstheme="minorHAnsi"/>
          <w:sz w:val="24"/>
          <w:lang w:val="hr-HR"/>
        </w:rPr>
      </w:pPr>
    </w:p>
    <w:p w14:paraId="49E6A74A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1A65C3DC">
      <w:pPr>
        <w:suppressAutoHyphens/>
        <w:spacing w:line="276" w:lineRule="auto"/>
        <w:jc w:val="center"/>
        <w:rPr>
          <w:rFonts w:asciiTheme="minorHAnsi" w:hAnsiTheme="minorHAnsi" w:eastAsia="Cambria" w:cstheme="minorHAnsi"/>
          <w:sz w:val="80"/>
          <w:szCs w:val="20"/>
          <w:lang w:val="hr-HR" w:eastAsia="zh-CN"/>
        </w:rPr>
      </w:pPr>
      <w:r>
        <w:rPr>
          <w:rFonts w:asciiTheme="minorHAnsi" w:hAnsiTheme="minorHAnsi" w:eastAsia="Cambria" w:cstheme="minorHAnsi"/>
          <w:sz w:val="80"/>
          <w:szCs w:val="20"/>
          <w:lang w:val="hr-HR" w:eastAsia="zh-CN"/>
        </w:rPr>
        <w:t xml:space="preserve">PROTOKOL</w:t>
      </w:r>
    </w:p>
    <w:p w14:paraId="4D1784CB">
      <w:pPr>
        <w:suppressAutoHyphens/>
        <w:spacing w:line="276" w:lineRule="auto"/>
        <w:jc w:val="center"/>
        <w:rPr>
          <w:rFonts w:asciiTheme="minorHAnsi" w:hAnsiTheme="minorHAnsi" w:eastAsia="Cambria" w:cstheme="minorHAnsi"/>
          <w:sz w:val="80"/>
          <w:szCs w:val="20"/>
          <w:lang w:val="hr-HR" w:eastAsia="zh-CN"/>
        </w:rPr>
      </w:pPr>
      <w:r>
        <w:rPr>
          <w:rFonts w:asciiTheme="minorHAnsi" w:hAnsiTheme="minorHAnsi" w:eastAsia="Cambria" w:cstheme="minorHAnsi"/>
          <w:sz w:val="80"/>
          <w:szCs w:val="20"/>
          <w:lang w:val="hr-HR" w:eastAsia="zh-CN"/>
        </w:rPr>
        <w:t xml:space="preserve">O POSTUPANJU PRIJE, TIJEKOM I NAKON POTRESA</w:t>
      </w:r>
    </w:p>
    <w:p w14:paraId="696E9369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521A14A9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4D97785A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46F0F02F">
      <w:pPr>
        <w:pStyle w:val="Default"/>
        <w:spacing w:line="276" w:lineRule="auto"/>
        <w:jc w:val="center"/>
        <w:rPr>
          <w:rFonts w:asciiTheme="minorHAnsi" w:hAnsiTheme="minorHAnsi" w:eastAsia="Times New Roman" w:cstheme="minorHAnsi"/>
          <w:i/>
          <w:color w:val="auto"/>
          <w:sz w:val="44"/>
          <w:szCs w:val="44"/>
        </w:rPr>
      </w:pPr>
    </w:p>
    <w:p w14:paraId="243B0C99">
      <w:pPr>
        <w:pStyle w:val="Default"/>
        <w:spacing w:line="276" w:lineRule="auto"/>
        <w:jc w:val="center"/>
        <w:rPr>
          <w:rFonts w:asciiTheme="minorHAnsi" w:hAnsiTheme="minorHAnsi" w:cstheme="minorHAnsi"/>
          <w:i/>
          <w:color w:val="auto"/>
          <w:sz w:val="28"/>
          <w:szCs w:val="28"/>
        </w:rPr>
      </w:pPr>
      <w:r>
        <w:rPr>
          <w:rFonts w:asciiTheme="minorHAnsi" w:hAnsiTheme="minorHAnsi" w:cstheme="minorHAnsi"/>
          <w:i/>
          <w:color w:val="auto"/>
          <w:sz w:val="28"/>
          <w:szCs w:val="28"/>
        </w:rPr>
        <w:t xml:space="preserve">Srednja škola Ivana Lucića - Trogir</w:t>
      </w:r>
    </w:p>
    <w:p w14:paraId="085F150A">
      <w:pPr>
        <w:pStyle w:val="Default"/>
        <w:spacing w:line="276" w:lineRule="auto"/>
        <w:jc w:val="center"/>
        <w:rPr>
          <w:rFonts w:asciiTheme="minorHAnsi" w:hAnsiTheme="minorHAnsi" w:cstheme="minorHAnsi"/>
          <w:i/>
          <w:color w:val="auto"/>
          <w:sz w:val="28"/>
          <w:szCs w:val="28"/>
        </w:rPr>
      </w:pPr>
      <w:r>
        <w:rPr>
          <w:rFonts w:asciiTheme="minorHAnsi" w:hAnsiTheme="minorHAnsi" w:cstheme="minorHAnsi"/>
          <w:i/>
          <w:color w:val="auto"/>
          <w:sz w:val="28"/>
          <w:szCs w:val="28"/>
        </w:rPr>
        <w:t xml:space="preserve">Put Muline 2B, 21220 Trogir</w:t>
      </w:r>
    </w:p>
    <w:p w14:paraId="42B6D0BD">
      <w:pPr>
        <w:spacing w:line="276" w:lineRule="auto"/>
        <w:jc w:val="center"/>
        <w:rPr>
          <w:rFonts w:asciiTheme="minorHAnsi" w:hAnsiTheme="minorHAnsi" w:eastAsia="Times New Roman" w:cstheme="minorHAnsi"/>
          <w:i/>
          <w:sz w:val="24"/>
          <w:szCs w:val="28"/>
          <w:lang w:val="hr-HR"/>
        </w:rPr>
      </w:pPr>
    </w:p>
    <w:p w14:paraId="7A72ADA9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1C7D25C8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081F2707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2E28E1F4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71712022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1BEAB808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16A2D22A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18EC2412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0EDB4536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363076CB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7C4A22AF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432184B7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77ED451B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64811AD6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7669369B">
      <w:pPr>
        <w:spacing w:line="276" w:lineRule="auto"/>
        <w:jc w:val="center"/>
        <w:rPr>
          <w:rFonts w:asciiTheme="minorHAnsi" w:hAnsiTheme="minorHAnsi" w:eastAsia="Times New Roman" w:cstheme="minorHAnsi"/>
          <w:sz w:val="24"/>
          <w:lang w:val="hr-HR"/>
        </w:rPr>
      </w:pPr>
    </w:p>
    <w:p w14:paraId="47EF71A9">
      <w:pPr>
        <w:spacing w:line="276" w:lineRule="auto"/>
        <w:jc w:val="center"/>
        <w:rPr>
          <w:rFonts w:asciiTheme="minorHAnsi" w:hAnsiTheme="minorHAnsi" w:eastAsia="Times New Roman" w:cstheme="minorHAnsi"/>
          <w:lang w:val="hr-HR"/>
        </w:rPr>
      </w:pPr>
    </w:p>
    <w:p w14:paraId="47E84C24">
      <w:pPr>
        <w:spacing w:line="276" w:lineRule="auto"/>
        <w:jc w:val="center"/>
        <w:rPr>
          <w:rFonts w:asciiTheme="minorHAnsi" w:hAnsiTheme="minorHAnsi" w:cstheme="minorHAnsi"/>
          <w:lang w:val="sv-SE"/>
        </w:rPr>
      </w:pPr>
      <w:r>
        <w:rPr>
          <w:rStyle w:val="Zadanifontodlomka1"/>
          <w:rFonts w:asciiTheme="minorHAnsi" w:hAnsiTheme="minorHAnsi" w:eastAsia="Cambria" w:cstheme="minorHAnsi"/>
          <w:sz w:val="24"/>
          <w:szCs w:val="24"/>
          <w:lang w:val="sv-SE"/>
        </w:rPr>
        <w:t xml:space="preserve">Kolovoz, 2026.</w:t>
      </w:r>
    </w:p>
    <w:p w14:paraId="35BDE290">
      <w:pPr>
        <w:spacing/>
        <w:jc w:val="both"/>
        <w:rPr>
          <w:rFonts w:asciiTheme="minorHAnsi" w:hAnsiTheme="minorHAnsi" w:cstheme="minorHAnsi"/>
          <w:lang w:val="hr-HR"/>
        </w:rPr>
        <w:sectPr>
          <w:headerReference w:type="default" r:id="rId3"/>
          <w:footerReference w:type="default" r:id="rId4"/>
          <w:type w:val="nextPage"/>
          <w:pgSz w:w="11906" w:h="16838"/>
          <w:pgMar w:top="1417" w:right="1417" w:bottom="1417" w:left="1417" w:header="0" w:footer="0" w:gutter="0"/>
          <w:pgBorders/>
          <w:pgNumType w:fmt="decimal"/>
          <w:cols w:num="1" w:equalWidth="1" w:space="720"/>
          <w:formProt w:val="0"/>
          <w:titlePg/>
          <w:docGrid w:linePitch="360"/>
        </w:sectPr>
      </w:pPr>
    </w:p>
    <w:p w14:paraId="66E0EE31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bookmarkStart w:id="4" w:name="page2"/>
      <w:bookmarkEnd w:id="4"/>
      <w:r>
        <w:rPr>
          <w:rFonts w:asciiTheme="minorHAnsi" w:hAnsiTheme="minorHAnsi" w:cstheme="minorHAnsi"/>
          <w:color w:val="auto"/>
          <w:lang w:val="hr-HR"/>
        </w:rPr>
        <w:t xml:space="preserve">1. PRAVNA OSNOVA I SVRHA PROTOKOLA</w:t>
      </w:r>
    </w:p>
    <w:p w14:paraId="5E1EC7B5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Sigurnost i zdravlje učenika, nastavnika, stručnih suradnika i ostalih radnika prioritet je Srednje škole Ivana Lucića – Trogir (dalje: Škola). Ovaj Protokol utvrđuje postupanje prije, tijekom i nakon potresa te je sastavni dio Plana evakuacije i spašavanja Škole.</w:t>
      </w:r>
    </w:p>
    <w:p w14:paraId="5DE058E6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Protokol se donosi na temelju:</w:t>
      </w:r>
    </w:p>
    <w:p w14:paraId="02BF49D9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članka 125. stavka 3. Zakona o odgoju i obrazovanju u osnovnoj i srednjoj školi (Narodne novine, br. 87/08, 86/09, 92/10, 105/10 – ispravak, 90/11, 16/12, 86/12, 94/13, 152/14, 7/17, 68/18, 98/19, 64/20, 151/22, 156/23),</w:t>
      </w:r>
    </w:p>
    <w:p w14:paraId="7F80B895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članka 28. Zakona o radu (Narodne novine, br. 93/14, 127/17, 98/19, 151/22, 64/23),</w:t>
      </w:r>
    </w:p>
    <w:p w14:paraId="08363986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članka 55. stavka 1. Zakona o zaštiti na radu (Narodne novine, br. 71/14, 118/14, 94/18, 96/18),</w:t>
      </w:r>
    </w:p>
    <w:p w14:paraId="23498ACB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članaka 54. i 55. Pravilnika o zaštiti na radu Škole (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kolovoz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202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6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.), kojima se uređuje zaštita od požara, evakuacija i spašavanje te obveza izrade Plana evakuacije i spašavanja,</w:t>
      </w:r>
    </w:p>
    <w:p w14:paraId="575E61A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Preporuka Ministarstva znanosti i obrazovanja od 14. siječnja 2021. (KLASA: 110-03/21-01/00001, URBROJ: 533-05-21-0002) o edukaciji zaposlenika i učenika o postupanju u slučaju potresa i provedbi pokaznih vježbi evakuacije.</w:t>
      </w:r>
    </w:p>
    <w:p w14:paraId="5AD5A161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Sukladno navedenim propisima, Škola je dužna zaposlenike i učenike upoznati s postupcima ponašanja prije, tijekom i nakon potresa, provoditi redovitu edukaciju te najmanje jednom godišnje organizirati pokaznu vježbu evakuacije.</w:t>
      </w:r>
    </w:p>
    <w:p w14:paraId="509CF249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2. DEFINICIJA I JAKOST POTRESA</w:t>
      </w:r>
    </w:p>
    <w:p w14:paraId="3007B183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Potres je iznenadno i kratkotrajno podrhtavanje tla uzrokovano pomicanjem tektonskih ploča, urušavanjem stijena ili magmatskom aktivnošću. Potrese nije moguće predvidjeti – događaju se iznenada i bez upozorenja, stoga je ključno da su svi djelatnici i učenici unaprijed upoznati s pravilnim postupanjem.</w:t>
      </w:r>
    </w:p>
    <w:p w14:paraId="3231C402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Jakost potresa izražava se Richterovom ljestvicom (magnituda, energija oslobođena u žarištu) i Mercalli-Cancani-Siebergovom (MCS) ljestvicom (intenzitet, učinak na ljude i građevine). Grad Trogir, kao i cijelo područje Republike Hrvatske, nalazi se u seizmički aktivnom području, stoga se pripravnost na potres provodi bez obzira na povijest potresa na lokaciji Škole.</w:t>
      </w: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400"/>
        <w:gridCol w:w="1400"/>
        <w:gridCol w:w="3426"/>
      </w:tblGrid>
      <w:tr>
        <w:trPr>
          <w:tblHeader/>
        </w:trPr>
        <w:tc>
          <w:tcPr>
            <w:tcW w:type="dxa" w:w="18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Magnituda (Richter)</w:t>
            </w:r>
          </w:p>
        </w:tc>
        <w:tc>
          <w:tcPr>
            <w:tcW w:type="dxa" w:w="2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Naziv</w:t>
            </w:r>
          </w:p>
        </w:tc>
        <w:tc>
          <w:tcPr>
            <w:tcW w:type="dxa" w:w="1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Stupanj (MCS)</w:t>
            </w:r>
          </w:p>
        </w:tc>
        <w:tc>
          <w:tcPr>
            <w:tcW w:type="dxa" w:w="34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Učinak</w:t>
            </w:r>
          </w:p>
        </w:tc>
      </w:tr>
      <w:tr>
        <w:trPr/>
        <w:tc>
          <w:tcPr>
            <w:tcW w:type="dxa" w:w="18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&lt; 3,0</w:t>
            </w:r>
          </w:p>
        </w:tc>
        <w:tc>
          <w:tcPr>
            <w:tcW w:type="dxa" w:w="2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Mikro / manji potres</w:t>
            </w:r>
          </w:p>
        </w:tc>
        <w:tc>
          <w:tcPr>
            <w:tcW w:type="dxa" w:w="1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I° – III°</w:t>
            </w:r>
          </w:p>
        </w:tc>
        <w:tc>
          <w:tcPr>
            <w:tcW w:type="dxa" w:w="34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Uglavnom neosjetljivo za ljude; bilježe ga seizmografi.</w:t>
            </w:r>
          </w:p>
        </w:tc>
      </w:tr>
      <w:tr>
        <w:trPr/>
        <w:tc>
          <w:tcPr>
            <w:tcW w:type="dxa" w:w="18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3,0 – 3,9</w:t>
            </w:r>
          </w:p>
        </w:tc>
        <w:tc>
          <w:tcPr>
            <w:tcW w:type="dxa" w:w="2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Manji potres</w:t>
            </w:r>
          </w:p>
        </w:tc>
        <w:tc>
          <w:tcPr>
            <w:tcW w:type="dxa" w:w="1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III°</w:t>
            </w:r>
          </w:p>
        </w:tc>
        <w:tc>
          <w:tcPr>
            <w:tcW w:type="dxa" w:w="34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Tlo lagano podrhtava, poput prolaska vozila.</w:t>
            </w:r>
          </w:p>
        </w:tc>
      </w:tr>
      <w:tr>
        <w:trPr/>
        <w:tc>
          <w:tcPr>
            <w:tcW w:type="dxa" w:w="18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4,0 – 4,9</w:t>
            </w:r>
          </w:p>
        </w:tc>
        <w:tc>
          <w:tcPr>
            <w:tcW w:type="dxa" w:w="2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Lagani potres</w:t>
            </w:r>
          </w:p>
        </w:tc>
        <w:tc>
          <w:tcPr>
            <w:tcW w:type="dxa" w:w="1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IV°</w:t>
            </w:r>
          </w:p>
        </w:tc>
        <w:tc>
          <w:tcPr>
            <w:tcW w:type="dxa" w:w="34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Osjetno drmanje, zveckanje prozora i posuđa.</w:t>
            </w:r>
          </w:p>
        </w:tc>
      </w:tr>
      <w:tr>
        <w:trPr/>
        <w:tc>
          <w:tcPr>
            <w:tcW w:type="dxa" w:w="18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5,0 – 5,9</w:t>
            </w:r>
          </w:p>
        </w:tc>
        <w:tc>
          <w:tcPr>
            <w:tcW w:type="dxa" w:w="2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Umjereni potres</w:t>
            </w:r>
          </w:p>
        </w:tc>
        <w:tc>
          <w:tcPr>
            <w:tcW w:type="dxa" w:w="1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V° – VI°</w:t>
            </w:r>
          </w:p>
        </w:tc>
        <w:tc>
          <w:tcPr>
            <w:tcW w:type="dxa" w:w="34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Njišu se predmeti, mogući manji ispadi štete.</w:t>
            </w:r>
          </w:p>
        </w:tc>
      </w:tr>
      <w:tr>
        <w:trPr/>
        <w:tc>
          <w:tcPr>
            <w:tcW w:type="dxa" w:w="18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6,0 – 6,9</w:t>
            </w:r>
          </w:p>
        </w:tc>
        <w:tc>
          <w:tcPr>
            <w:tcW w:type="dxa" w:w="2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Jaki potres</w:t>
            </w:r>
          </w:p>
        </w:tc>
        <w:tc>
          <w:tcPr>
            <w:tcW w:type="dxa" w:w="1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VI° – VII°</w:t>
            </w:r>
          </w:p>
        </w:tc>
        <w:tc>
          <w:tcPr>
            <w:tcW w:type="dxa" w:w="34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Padaju predmeti, pucaju zidovi, ljudi bježe van.</w:t>
            </w:r>
          </w:p>
        </w:tc>
      </w:tr>
      <w:tr>
        <w:trPr/>
        <w:tc>
          <w:tcPr>
            <w:tcW w:type="dxa" w:w="18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7,0 i više</w:t>
            </w:r>
          </w:p>
        </w:tc>
        <w:tc>
          <w:tcPr>
            <w:tcW w:type="dxa" w:w="2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Veliki / razoran potres</w:t>
            </w:r>
          </w:p>
        </w:tc>
        <w:tc>
          <w:tcPr>
            <w:tcW w:type="dxa" w:w="14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VIII° i više</w:t>
            </w:r>
          </w:p>
        </w:tc>
        <w:tc>
          <w:tcPr>
            <w:tcW w:type="dxa" w:w="34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Ozbiljna oštećenja i rušenje građevina.</w:t>
            </w:r>
          </w:p>
        </w:tc>
      </w:tr>
    </w:tbl>
    <w:p w14:paraId="164E2B0A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3</w:t>
      </w:r>
      <w:r>
        <w:rPr>
          <w:rFonts w:asciiTheme="minorHAnsi" w:hAnsiTheme="minorHAnsi" w:cstheme="minorHAnsi"/>
          <w:color w:val="auto"/>
          <w:lang w:val="hr-HR"/>
        </w:rPr>
        <w:t xml:space="preserve">. MJERE PRIPRAVNOSTI PRIJE POTRESA</w:t>
      </w:r>
    </w:p>
    <w:p w14:paraId="4FD5D7A7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3.1. Edukacija učenika i djelatnika</w:t>
      </w:r>
    </w:p>
    <w:p w14:paraId="59BF0446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Postupanje prije, tijekom i nakon potresa učenici usvajaju kroz:</w:t>
      </w:r>
    </w:p>
    <w:p w14:paraId="1013CCC5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sat razrednika i uvodne aktivnosti na početku školske godine,</w:t>
      </w:r>
    </w:p>
    <w:p w14:paraId="62A36526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nastavu geografije i druge nastavne predmete u kojima se obrađuje tematika prirodnih nepogoda,</w:t>
      </w:r>
    </w:p>
    <w:p w14:paraId="316C5CDD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međupredmetne teme (Osobni i socijalni razvoj, Zdravlje),</w:t>
      </w:r>
    </w:p>
    <w:p w14:paraId="25336001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pokazne vježbe evakuacije na razini Škole,</w:t>
      </w:r>
    </w:p>
    <w:p w14:paraId="3EF6D869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informativne materijale Ravnateljstva civilne zaštite (civilna-zastita.gov.hr) i drugih nadležnih tijela.</w:t>
      </w:r>
    </w:p>
    <w:p w14:paraId="1ED90A04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Svi djelatnici Škole obavezni su upoznati se s ovim Protokolom te sudjelovati u edukacijama i vježbama evakuacije. Analiza i eventualne dopune ili izmjene Protokola provode se na početku svake školske godine, a po potrebi i tijekom godine.</w:t>
      </w:r>
    </w:p>
    <w:p w14:paraId="0761F514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3.2. Sigurna mjesta i uređenje prostora</w:t>
      </w:r>
    </w:p>
    <w:p w14:paraId="5403A78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U svakoj učionici, kabinetu informatike, knjižnici, čitaonici i hodniku određena su sigurna mjesta – uz nosive zidove i kutove prostorije, dalje od prozora, staklenih površina i visokih ormara.</w:t>
      </w:r>
    </w:p>
    <w:p w14:paraId="2B3EC6C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Namještaj i oprema (police, ormari, uređaji) moraju biti pričvršćeni ili stabilno postavljeni; teži predmeti drže se na nižim policama.</w:t>
      </w:r>
    </w:p>
    <w:p w14:paraId="225C86E1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Svi hodnici, stubišta i izlazi moraju u svakom trenutku biti prohodni i slobodni od prepreka.</w:t>
      </w:r>
    </w:p>
    <w:p w14:paraId="52AF1D42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Grafički prikazi plana evakuacije moraju biti istaknuti na vidljivom mjestu u svim prostorima Škole.</w:t>
      </w:r>
    </w:p>
    <w:p w14:paraId="23025DAC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Redovito se provjeravaju električne, plinske i druge instalacije te ispravnost opreme za gašenje požara.</w:t>
      </w:r>
    </w:p>
    <w:p w14:paraId="4CDBFBC8">
      <w:pPr>
        <w:pStyle w:val="Odlomakpopisa"/>
        <w:spacing w:after="80"/>
        <w:ind w:left="720"/>
        <w:jc w:val="both"/>
        <w:rPr>
          <w:rFonts w:asciiTheme="minorHAnsi" w:hAnsiTheme="minorHAnsi" w:cstheme="minorHAnsi"/>
          <w:lang w:val="hr-HR"/>
        </w:rPr>
      </w:pPr>
    </w:p>
    <w:p w14:paraId="2CD04A28">
      <w:pPr>
        <w:spacing/>
        <w:jc w:val="both"/>
        <w:rPr>
          <w:rFonts w:asciiTheme="minorHAnsi" w:hAnsiTheme="minorHAnsi" w:cstheme="minorHAnsi"/>
          <w:b/>
          <w:bCs/>
          <w:sz w:val="26"/>
          <w:szCs w:val="26"/>
          <w:lang w:val="hr-HR"/>
        </w:rPr>
      </w:pPr>
      <w:r>
        <w:rPr>
          <w:rFonts w:asciiTheme="minorHAnsi" w:hAnsiTheme="minorHAnsi" w:cstheme="minorHAnsi"/>
          <w:b/>
          <w:bCs/>
          <w:sz w:val="26"/>
          <w:szCs w:val="26"/>
          <w:lang w:val="hr-HR"/>
        </w:rPr>
        <w:t xml:space="preserve">4. POSTUPANJE TIJEKOM POTRESA</w:t>
      </w:r>
    </w:p>
    <w:p w14:paraId="4DB99CA0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4.1. U učionici ili kabinetu</w:t>
      </w:r>
    </w:p>
    <w:p w14:paraId="64BA7386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Ostanite mirni i ne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paničarite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.</w:t>
      </w:r>
    </w:p>
    <w:p w14:paraId="5FEECDDE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Sklonite se ispod klupe/stola, zauzmite “fetus” položaj i pokrijte glavu rukama, knjigom ili jaknom.</w:t>
      </w:r>
    </w:p>
    <w:p w14:paraId="675CB6F5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Odmaknite se od prozora, staklenih površina, ormara i visećih predmeta.</w:t>
      </w:r>
    </w:p>
    <w:p w14:paraId="6AE3B1C3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Ne napuštajte učionicu dok traje potres.</w:t>
      </w:r>
    </w:p>
    <w:p w14:paraId="3C278119">
      <w:pPr>
        <w:pStyle w:val="Odlomakpopisa"/>
        <w:numPr>
          <w:ilvl w:val="0"/>
          <w:numId w:val="6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Pratite upute nastavnika/nastavnice.</w:t>
      </w:r>
    </w:p>
    <w:p w14:paraId="52906E47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4.2. Izvan učionice (hodnik, stubište, sanitarni čvor)</w:t>
      </w:r>
    </w:p>
    <w:p w14:paraId="09E37D9A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Ako ste u hodniku ili na stubištu, uđite u najbližu učionicu i sklonite se pod stol ili uz nosivi zid.</w:t>
      </w:r>
    </w:p>
    <w:p w14:paraId="77562E52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Ako ste u sanitarnom čvoru, stanite uz nosivi zid (dovratak/štok) dalje od stakla i instalacija.</w:t>
      </w:r>
    </w:p>
    <w:p w14:paraId="403BF487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4.3. U knjižnici, čitaonici ili kabinetu informatike</w:t>
      </w:r>
    </w:p>
    <w:p w14:paraId="5720B8E2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Odmaknite se od polica s knjigama, staklenih vitrina i prozora.</w:t>
      </w:r>
    </w:p>
    <w:p w14:paraId="1D6187C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Sklonite se pod stol ili uz nosivi zid u “fetus” položaju i zaštitite glavu rukama.</w:t>
      </w:r>
    </w:p>
    <w:p w14:paraId="41A29052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4.4. Na putu u školu ili iz škole</w:t>
      </w:r>
    </w:p>
    <w:p w14:paraId="14876804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Zaustavite se, budite mirni i odmaknite se od zgrada, dalekovoda, stupova i drugih objekata koji se mogu urušiti.</w:t>
      </w:r>
    </w:p>
    <w:p w14:paraId="29AE2D35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Zaštitite glavu torbom, jaknom ili rukama od mogućih padajućih predmeta.</w:t>
      </w:r>
    </w:p>
    <w:p w14:paraId="1A09163C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Nakon prestanka potresa nastavite prema školi ili kući, sukladno prethodnom dogovoru s roditeljima, te ih po mogućnosti obavijestite o svojoj lokaciji.</w:t>
      </w:r>
    </w:p>
    <w:p w14:paraId="69A6B650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4.5. Ako ste zatrpani ili pod ruševinama</w:t>
      </w:r>
    </w:p>
    <w:p w14:paraId="3BAD15F2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Ostanite pribrani, ne trošite snagu na panično kretanje.</w:t>
      </w:r>
    </w:p>
    <w:p w14:paraId="7A2FBA8E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Prekrijte usta i nos dijelom odjeće kako biste izbjegli udisanje prašine.</w:t>
      </w:r>
    </w:p>
    <w:p w14:paraId="1414CB08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Lagano lupkajte po cijevi ili zidu kako bi vas spasioci mogli locirati; izbjegavajte vikanje osim kada je nužno.</w:t>
      </w:r>
    </w:p>
    <w:p w14:paraId="7CBDA5AE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5. POSTUPANJE NAKON POTRESA</w:t>
      </w:r>
    </w:p>
    <w:p w14:paraId="1289F1C2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lang w:val="hr-HR"/>
        </w:rPr>
        <w:t xml:space="preserve">Nakon prestanka trešnje, nastavnik/nastavnica organizirano vodi učenike unaprijed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određenim evakuacijskim putem do zbornog mjesta.</w:t>
      </w:r>
    </w:p>
    <w:p w14:paraId="510C6888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Ne napuštajte zgradu dok traje potres; ne vraćajte se u zgradu nakon evakuacije bez odobrenja voditelja evakuacije.</w:t>
      </w:r>
    </w:p>
    <w:p w14:paraId="64130711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 zbornom mjestu mirno slušajte upute i ostanite u svojoj grupi/razredu – nastavnici moraju znati gdje se svi nalaze.</w:t>
      </w:r>
    </w:p>
    <w:p w14:paraId="4902F2F6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Razrednici/nastavnici provode prozivku učenika i o rezultatu odmah izvještavaju voditelja evakuacije i ravnatelja/icu.</w:t>
      </w:r>
    </w:p>
    <w:p w14:paraId="112FB4C4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Osobe osposobljene za pružanje prve pomoći zbrinjavaju ozlijeđene; po potrebi se pozivaju hitne službe (112).</w:t>
      </w:r>
    </w:p>
    <w:p w14:paraId="6E367E2B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Voditelj evakuacije isključuje glavne sklopke struje, plina i vode te obavještava ravnatelja/icu o stanju objekta.</w:t>
      </w:r>
    </w:p>
    <w:p w14:paraId="3B9335F3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Škola uspostavlja kontakt s roditeljima/skrbnicima raspoloživim komunikacijskim kanalima (telefon, mrežna stranica, e-Dnevnik) te ih izvještava o postupku preuzimanja učenika.</w:t>
      </w:r>
    </w:p>
    <w:p w14:paraId="19898EB6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Učenici ostaju na zbornom mjestu do preuzimanja od strane roditelja/skrbnika ili do uputa nastavnika o povratku u učionice, sukladno procjeni sigurnosti objekta.</w:t>
      </w:r>
    </w:p>
    <w:p w14:paraId="4D349104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Mobilni telefoni ne koriste se za kontakt s obitelji bez potrebe, kako bi se rasteretila mreža – kontakt s roditeljima uspostavlja Škola.</w:t>
      </w:r>
    </w:p>
    <w:p w14:paraId="74AC296E">
      <w:pPr>
        <w:pStyle w:val="Odlomakpopisa"/>
        <w:numPr>
          <w:ilvl w:val="0"/>
          <w:numId w:val="7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Ravnatelj/ica putem mrežne stranice Škole objavljuje dostupne informacije o stanju i daljnjem postupanju.</w:t>
      </w:r>
    </w:p>
    <w:p w14:paraId="0BBE5F25">
      <w:pPr>
        <w:pStyle w:val="Naslov2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Zborno mjesto</w:t>
      </w:r>
    </w:p>
    <w:p w14:paraId="2154BD6C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Zborno mjesto za sve učenike i djelatnike Škole je: dvorište ispred zgrade škole, Put Muline 2B, Trogir]. Točna lokacija zbornog mjesta i evakuacijski putovi moraju biti usklađeni sa stvarnim rasporedom prostorija i grafičkim planom evakuacije Škole te vidljivo istaknuti u svim prostorima.</w:t>
      </w:r>
    </w:p>
    <w:p w14:paraId="4AF3ADCD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6. TIM ZA EVAKUACIJU I ZADUŽENJA</w:t>
      </w:r>
    </w:p>
    <w:p w14:paraId="015F7BF3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Voditelj/ica evakuacije i spašavanja, odnosno njegov/njezin zamjenik/zamjenica:</w:t>
      </w:r>
    </w:p>
    <w:p w14:paraId="4722D106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upućuje sve prisutne osobe prema zbornom mjestu i koordinira evakuacijski proces,</w:t>
      </w:r>
    </w:p>
    <w:p w14:paraId="1DB9B26B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provodi cjelokupnu evakuaciju te izvještava ravnatelja/icu Škole o stanju tijekom i nakon evakuacije,</w:t>
      </w:r>
    </w:p>
    <w:p w14:paraId="77FE6CA3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isključuje glavne sklopke (struja, plin, voda) u građevini,</w:t>
      </w:r>
    </w:p>
    <w:p w14:paraId="769AAB23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posljednji napušta građevinu i provjerava jesu li sve osobe izašle.</w:t>
      </w:r>
    </w:p>
    <w:p w14:paraId="5B2633B4">
      <w:pPr>
        <w:pStyle w:val="Odlomakpopisa"/>
        <w:spacing w:after="80"/>
        <w:ind w:left="720"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Zaduženje</w:t>
            </w:r>
          </w:p>
        </w:tc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Osoba</w:t>
            </w:r>
          </w:p>
        </w:tc>
      </w:tr>
      <w:tr>
        <w:trPr/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Voditelj evakuacije i spašavanja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(jutro)</w:t>
            </w:r>
          </w:p>
        </w:tc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Tomislav Čović/Siniša Geić</w:t>
            </w:r>
          </w:p>
        </w:tc>
      </w:tr>
      <w:tr>
        <w:trPr/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Voditelj evakuacije i spašavanja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(pop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dne)</w:t>
            </w:r>
          </w:p>
        </w:tc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Martin Kabić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/Siniša Geić</w:t>
            </w:r>
          </w:p>
        </w:tc>
      </w:tr>
      <w:tr>
        <w:trPr/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Osoba zadužena za pružanje prve pomoći</w:t>
            </w:r>
          </w:p>
        </w:tc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Nedjeljka Živaljić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/Ante Parčina/Tonći Radić</w:t>
            </w:r>
          </w:p>
        </w:tc>
      </w:tr>
      <w:tr>
        <w:trPr/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Domar – isključivanje struje, plina i vode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(jutro)</w:t>
            </w:r>
          </w:p>
        </w:tc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Tomislav Čović</w:t>
            </w:r>
          </w:p>
        </w:tc>
      </w:tr>
      <w:tr>
        <w:trPr/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Operativni djelatnik za sigurnost i civilnu zaštitu</w:t>
            </w:r>
          </w:p>
        </w:tc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Ante Parčina</w:t>
            </w:r>
          </w:p>
        </w:tc>
      </w:tr>
      <w:tr>
        <w:trPr/>
        <w:tc>
          <w:tcPr>
            <w:tcW w:type="dxa" w:w="4513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– isključivanje struje, plina i vode (popodne)</w:t>
            </w:r>
          </w:p>
        </w:tc>
        <w:tc>
          <w:tcPr>
            <w:tcW w:type="dxa" w:w="4513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Tonći Radić</w:t>
            </w:r>
          </w:p>
        </w:tc>
      </w:tr>
      <w:tr>
        <w:trPr/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Tajništvo – kontakt s roditeljima i nadležnim službama</w:t>
            </w:r>
          </w:p>
        </w:tc>
        <w:tc>
          <w:tcPr>
            <w:tcW w:type="dxa" w:w="4513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Tanja Odak</w:t>
            </w:r>
          </w:p>
        </w:tc>
      </w:tr>
    </w:tbl>
    <w:p w14:paraId="00249738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</w:p>
    <w:p w14:paraId="68F295A5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</w:p>
    <w:p w14:paraId="73FA0780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7. EVAKUACIJSKI PUTOVI PO PROSTORIJAMA</w:t>
      </w:r>
    </w:p>
    <w:p w14:paraId="59FEAF10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Škola djeluje na 1. katu zgrade na adresi Put Muline 2B, Trogir, u sklopu koje se nalazi osam učionica, kabinet informatike te školska knjižnica s čitaonicom. Tablicu u nastavku potrebno je dopuniti stvarnim rasporedom prostorija i pripadajućim evakuacijskim putovima, u skladu s grafičkim planom evakuacije istaknutim u svakoj prostoriji.</w:t>
      </w:r>
    </w:p>
    <w:p w14:paraId="72A23D32">
      <w:pPr>
        <w:spacing w:after="140"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fill="FFFFFF" w:val="clea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9"/>
        <w:gridCol w:w="3009"/>
        <w:gridCol w:w="3008"/>
      </w:tblGrid>
      <w:tr>
        <w:trPr>
          <w:tblHeader/>
        </w:trPr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Prostor / učionica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Evakuacijski put / izlaz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Zborno mjesto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Učionice (novi dio)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Sporedni izlaz /učionica 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informatike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Kabinet informatike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Sporedni izlaz /učionica informatike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Ured ravnatelja/ice</w:t>
            </w:r>
          </w:p>
        </w:tc>
        <w:tc>
          <w:tcPr>
            <w:tcW w:type="dxa" w:w="3009"/>
            <w:vMerge w:val="restart"/>
            <w:tcBorders>
              <w:top w:val="single" w:color="999999" w:sz="2" w:space="0"/>
              <w:left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Sporedni izlaz /učionica informatike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vMerge w:val="continue"/>
            <w:tcBorders>
              <w:left w:val="single" w:color="999999" w:sz="2" w:space="0"/>
              <w:bottom w:val="single" w:color="auto" w:sz="4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Zbornica</w:t>
            </w:r>
          </w:p>
        </w:tc>
        <w:tc>
          <w:tcPr>
            <w:tcW w:type="dxa" w:w="3009"/>
            <w:tcBorders>
              <w:left w:val="single" w:color="999999" w:sz="2" w:space="0"/>
              <w:bottom w:val="single" w:color="auto" w:sz="4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Sporedni izlaz /učionica informatike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Sanitarni čvor (muški WC) i hodnik u novom dijelu</w:t>
            </w:r>
          </w:p>
        </w:tc>
        <w:tc>
          <w:tcPr>
            <w:tcW w:type="dxa" w:w="3009"/>
            <w:tcBorders>
              <w:left w:val="single" w:color="999999" w:sz="2" w:space="0"/>
              <w:bottom w:val="single" w:color="auto" w:sz="4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Sporedni izlaz /učionica informatike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Učionice (stari dio)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 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zgrade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Školska knjižnica i čitaonica</w:t>
            </w:r>
          </w:p>
        </w:tc>
        <w:tc>
          <w:tcPr>
            <w:tcW w:type="dxa" w:w="3009"/>
            <w:tcBorders>
              <w:top w:val="single" w:color="auto" w:sz="4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 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zgrade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hr-HR"/>
              </w:rPr>
              <w:t xml:space="preserve">Ured voditelja/ispitnog koordinatora  </w:t>
            </w: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 zgrade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Uredi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nil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type="dxa" w:w="3009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zgrade</w:t>
            </w:r>
          </w:p>
        </w:tc>
        <w:tc>
          <w:tcPr>
            <w:tcW w:type="dxa" w:w="3008"/>
            <w:tcBorders>
              <w:top w:val="nil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fill="FFFFFF" w:val="clear"/>
          <w:tblCellMar>
            <w:left w:w="10" w:type="dxa"/>
            <w:right w:w="10" w:type="dxa"/>
          </w:tblCellMar>
        </w:tblPrEx>
        <w:trPr/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Sanitarni čvorovi (WC za urede, ženski WC, WC za nastavnike) i hodnik u starom dijelu</w:t>
            </w:r>
          </w:p>
        </w:tc>
        <w:tc>
          <w:tcPr>
            <w:tcW w:type="dxa" w:w="3009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Glavno stubište / glavni izlaz zgrade</w:t>
            </w:r>
          </w:p>
        </w:tc>
        <w:tc>
          <w:tcPr>
            <w:tcW w:type="dxa" w:w="3008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fill="FFFFFF" w:color="auto" w:val="clear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Dvorište ispred škole</w:t>
            </w:r>
          </w:p>
        </w:tc>
      </w:tr>
    </w:tbl>
    <w:p w14:paraId="051961D1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8. EDUKACIJA I POKAZNE VJEŽBE EVAKUACIJE</w:t>
      </w:r>
    </w:p>
    <w:p w14:paraId="39CA4D5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Najmanje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dva puta godišnje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, po mogućnosti pri početk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u prvog i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drugog polugodišta, provodi se pokazna vježba evakuacije na razini cijele Škole.</w:t>
      </w:r>
    </w:p>
    <w:p w14:paraId="2105E836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Nastavnici razrednih odjela na satu razrednika obrađuju postupanje u slučaju potresa, najkasnije na prvom satu nakon vježbe ili početka polugodišta.</w:t>
      </w:r>
    </w:p>
    <w:p w14:paraId="7AAA1EC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Nakon svake vježbe provodi se kratka analiza provedbe (vrijeme evakuacije, uočeni problemi, prijedlozi poboljšanja) te se, po potrebi, ažurira ovaj Protokol i plan evakuacije.</w:t>
      </w:r>
    </w:p>
    <w:p w14:paraId="6B6BBD37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U slučaju da je zgrada Škole pretrpjela oštećenja (potres ili druga nepogoda), prije nastavka nastave provjerava se ispravnost i sigurnost objekta te se, ako je potrebno, ažurira plan evakuacije.</w:t>
      </w:r>
    </w:p>
    <w:p w14:paraId="1F46C9D0">
      <w:pPr>
        <w:spacing/>
        <w:jc w:val="both"/>
        <w:rPr>
          <w:rFonts w:asciiTheme="minorHAnsi" w:hAnsiTheme="minorHAnsi" w:cstheme="minorHAnsi"/>
          <w:b/>
          <w:bCs/>
          <w:sz w:val="26"/>
          <w:szCs w:val="26"/>
          <w:lang w:val="hr-HR"/>
        </w:rPr>
      </w:pPr>
    </w:p>
    <w:p w14:paraId="3AFA8AB1">
      <w:pPr>
        <w:spacing/>
        <w:rPr>
          <w:rFonts w:asciiTheme="minorHAnsi" w:hAnsiTheme="minorHAnsi" w:cstheme="minorHAnsi"/>
          <w:b/>
          <w:bCs/>
          <w:sz w:val="26"/>
          <w:szCs w:val="26"/>
          <w:lang w:val="hr-HR"/>
        </w:rPr>
      </w:pPr>
      <w:r>
        <w:rPr>
          <w:rFonts w:asciiTheme="minorHAnsi" w:hAnsiTheme="minorHAnsi" w:cstheme="minorHAnsi"/>
          <w:lang w:val="hr-HR"/>
        </w:rPr>
        <w:br w:type="page"/>
      </w:r>
    </w:p>
    <w:p w14:paraId="79B8FA83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9. VAŽNI TELEFONSKI BROJEVI</w:t>
      </w: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Broj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Služba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112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Jedinstveni broj za hitne službe (policija, vatrogasci, hitna pomoć)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193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Vatrogasci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194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Hitna medicinska pomoć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192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Policija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021/884-891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Tajništvo Škole</w:t>
            </w:r>
          </w:p>
        </w:tc>
      </w:tr>
      <w:tr>
        <w:trPr/>
        <w:tc>
          <w:tcPr>
            <w:tcW w:type="dxa" w:w="2200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021/881-414</w:t>
            </w:r>
          </w:p>
        </w:tc>
        <w:tc>
          <w:tcPr>
            <w:tcW w:type="dxa" w:w="6826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spacing/>
              <w:jc w:val="both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Ured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ravnatelj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a/ice</w:t>
            </w:r>
          </w:p>
        </w:tc>
      </w:tr>
    </w:tbl>
    <w:p w14:paraId="5FB605D0">
      <w:pPr>
        <w:pStyle w:val="Naslov1"/>
        <w:spacing/>
        <w:jc w:val="both"/>
        <w:rPr>
          <w:rFonts w:asciiTheme="minorHAnsi" w:hAnsiTheme="minorHAnsi" w:cstheme="minorHAnsi"/>
          <w:color w:val="auto"/>
          <w:lang w:val="hr-HR"/>
        </w:rPr>
      </w:pPr>
      <w:r>
        <w:rPr>
          <w:rFonts w:asciiTheme="minorHAnsi" w:hAnsiTheme="minorHAnsi" w:cstheme="minorHAnsi"/>
          <w:color w:val="auto"/>
          <w:lang w:val="hr-HR"/>
        </w:rPr>
        <w:t xml:space="preserve">10. ZAVRŠNE ODREDBE</w:t>
      </w:r>
    </w:p>
    <w:p w14:paraId="6509DBA5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Ovaj Protokol istaknut je na oglasnoj ploči Škole i dostupan je svim djelatnicima, učenicima i roditeljima na mrežnoj stranici Škole.</w:t>
      </w:r>
    </w:p>
    <w:p w14:paraId="463C3609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Protokol se preispituje na početku svake školske godine te po potrebi dopunjuje i mijenja, osobito nakon promjena u organizaciji prostora ili sastavu tima za evakuaciju.</w:t>
      </w:r>
    </w:p>
    <w:p w14:paraId="0EF1E318">
      <w:pPr>
        <w:pStyle w:val="Odlomakpopisa"/>
        <w:numPr>
          <w:ilvl w:val="0"/>
          <w:numId w:val="5"/>
        </w:numPr>
        <w:spacing w:after="8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Protokol stupa na snagu danom donošenja.</w:t>
      </w:r>
    </w:p>
    <w:p w14:paraId="06BF265B">
      <w:pPr>
        <w:spacing w:after="80"/>
        <w:jc w:val="center"/>
        <w:rPr>
          <w:noProof/>
        </w:rPr>
      </w:pPr>
    </w:p>
    <w:p w14:paraId="53BB3E1E">
      <w:pPr>
        <w:spacing w:after="80"/>
        <w:jc w:val="center"/>
        <w:rPr>
          <w:rFonts w:asciiTheme="minorHAnsi" w:hAnsiTheme="minorHAnsi" w:cstheme="minorHAnsi"/>
          <w:lang w:val="hr-HR"/>
        </w:rPr>
      </w:pPr>
    </w:p>
    <w:p w14:paraId="134AC778">
      <w:pPr>
        <w:spacing w:after="80"/>
        <w:jc w:val="center"/>
        <w:rPr>
          <w:rFonts w:asciiTheme="minorHAnsi" w:hAnsiTheme="minorHAnsi" w:cstheme="minorHAnsi"/>
          <w:lang w:val="hr-HR"/>
        </w:rPr>
      </w:pPr>
    </w:p>
    <w:p w14:paraId="228086B4">
      <w:pPr>
        <w:spacing w:after="80"/>
        <w:jc w:val="right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Ravnateljica:</w:t>
      </w:r>
    </w:p>
    <w:p w14:paraId="52F10A2B">
      <w:pPr>
        <w:spacing w:after="80"/>
        <w:jc w:val="right"/>
        <w:rPr>
          <w:rFonts w:asciiTheme="minorHAnsi" w:hAnsiTheme="minorHAnsi" w:cstheme="minorHAnsi"/>
          <w:sz w:val="24"/>
          <w:szCs w:val="24"/>
          <w:lang w:val="hr-HR"/>
        </w:rPr>
      </w:pPr>
    </w:p>
    <w:p w14:paraId="5BB6ED91">
      <w:pPr>
        <w:spacing w:after="80"/>
        <w:jc w:val="right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__________________</w:t>
      </w:r>
    </w:p>
    <w:p w14:paraId="018E0EE6">
      <w:pPr>
        <w:tabs>
          <w:tab w:val="left" w:pos="7728"/>
        </w:tabs>
        <w:spacing/>
        <w:jc w:val="right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                                                                                    Vjekoslava Radić, prof.</w:t>
      </w:r>
      <w:r>
        <w:rPr>
          <w:rFonts w:asciiTheme="minorHAnsi" w:hAnsiTheme="minorHAnsi" w:cstheme="minorHAnsi"/>
          <w:sz w:val="24"/>
          <w:szCs w:val="24"/>
          <w:lang w:val="hr-HR"/>
        </w:rPr>
        <w:tab/>
        <w:t xml:space="preserve"/>
      </w:r>
    </w:p>
    <w:sectPr>
      <w:headerReference w:type="default" r:id="rId5"/>
      <w:footerReference w:type="default" r:id="rId6"/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ambria">
    <w:charset w:val="238"/>
    <w:family w:val="roman"/>
    <w:pitch w:val="variable"/>
    <w:sig w:usb0="E00006FF" w:usb1="420024FF" w:usb2="02000000" w:usb3="00000000" w:csb0="0000019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42A99CD">
    <w:pPr>
      <w:pStyle w:val="Podnoje"/>
      <w:spacing/>
      <w:jc w:val="right"/>
      <w:rPr>
        <w:sz w:val="18"/>
        <w:szCs w:val="18"/>
      </w:rPr>
    </w:pPr>
    <w:r>
      <w:rPr>
        <w:rFonts w:cs="Calibri"/>
        <w:sz w:val="18"/>
        <w:szCs w:val="18"/>
      </w:rPr>
      <w:t xml:space="preserve"> 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 xml:space="preserve"> PAGE </w:instrText>
    </w:r>
    <w:r>
      <w:rPr>
        <w:bCs/>
        <w:sz w:val="18"/>
        <w:szCs w:val="18"/>
      </w:rPr>
      <w:fldChar w:fldCharType="separate"/>
    </w:r>
    <w:r>
      <w:rPr>
        <w:bCs/>
        <w:sz w:val="18"/>
        <w:szCs w:val="18"/>
      </w:rPr>
      <w:t xml:space="preserve">2</w:t>
    </w:r>
    <w:r>
      <w:rPr>
        <w:bCs/>
        <w:sz w:val="18"/>
        <w:szCs w:val="18"/>
      </w:rPr>
      <w:fldChar w:fldCharType="end"/>
    </w:r>
    <w:r>
      <w:rPr>
        <w:rFonts w:cs="Calibri"/>
        <w:sz w:val="18"/>
        <w:szCs w:val="18"/>
      </w:rPr>
      <w:t xml:space="preserve"> </w:t>
    </w:r>
    <w:r>
      <w:rPr>
        <w:sz w:val="18"/>
        <w:szCs w:val="18"/>
      </w:rPr>
      <w:t xml:space="preserve">/ 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 xml:space="preserve"> NUMPAGES \* ARABIC </w:instrText>
    </w:r>
    <w:r>
      <w:rPr>
        <w:bCs/>
        <w:sz w:val="18"/>
        <w:szCs w:val="18"/>
      </w:rPr>
      <w:fldChar w:fldCharType="separate"/>
    </w:r>
    <w:r>
      <w:rPr>
        <w:bCs/>
        <w:sz w:val="18"/>
        <w:szCs w:val="18"/>
      </w:rPr>
      <w:t xml:space="preserve">24</w:t>
    </w:r>
    <w:r>
      <w:rPr>
        <w:bCs/>
        <w:sz w:val="18"/>
        <w:szCs w:val="18"/>
      </w:rPr>
      <w:fldChar w:fldCharType="end"/>
    </w:r>
  </w:p>
  <w:p w14:paraId="615B1148">
    <w:pPr>
      <w:pStyle w:val="Podnoje"/>
      <w:spacing/>
      <w:rPr>
        <w:sz w:val="18"/>
        <w:szCs w:val="18"/>
      </w:rPr>
    </w:pPr>
  </w:p>
</w:ftr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7831A04D">
    <w:pPr>
      <w:pStyle w:val="Podnoje"/>
      <w:spacing/>
      <w:rPr/>
    </w:pPr>
  </w:p>
</w:ft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5A5CDD18">
    <w:pPr>
      <w:pStyle w:val="Zaglavlje"/>
      <w:spacing/>
      <w:jc w:val="center"/>
      <w:rPr>
        <w:lang w:val="hr-HR"/>
      </w:rPr>
    </w:pPr>
  </w:p>
  <w:p w14:paraId="379AC8D2">
    <w:pPr>
      <w:pStyle w:val="Zaglavlje"/>
      <w:spacing/>
      <w:jc w:val="center"/>
      <w:rPr>
        <w:lang w:val="hr-HR"/>
      </w:rPr>
    </w:pPr>
    <w:r>
      <w:rPr>
        <w:noProof/>
      </w:rPr>
      <ve:AlternateContent>
        <ve:Choice Requires="wps">
          <w:drawing>
            <wp:anchor distT="0" distB="0" distL="114935" distR="114935" simplePos="0" relativeHeight="251659264" behindDoc="1" locked="0" layoutInCell="1" allowOverlap="1">
              <wp:simplePos x="0" y="0"/>
              <wp:positionH relativeFrom="column">
                <wp:posOffset>-552450</wp:posOffset>
              </wp:positionH>
              <wp:positionV relativeFrom="paragraph">
                <wp:posOffset>206375</wp:posOffset>
              </wp:positionV>
              <wp:extent cx="7058660" cy="1270"/>
              <wp:effectExtent xmlns:wp="http://schemas.openxmlformats.org/drawingml/2006/wordprocessingDrawing" l="0" t="0" r="27940" b="36830"/>
              <wp:wrapNone/>
              <wp:docPr id="3" name="Ravni poveznik sa strelicom 1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8660" cy="1270"/>
                      </a:xfrm>
                      <a:prstGeom prst="straightConnector1">
                        <a:avLst/>
                      </a:prstGeom>
                      <a:ln cap="flat" cmpd="sng" w="9360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ve:Choice>
        <ve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type="#_x0000_t32" style="position:absolute;margin-left:-43.5pt;margin-top:16.25pt;width:555.8pt;height:0.1pt;z-index:251659264;;v-text-anchor:top;mso-wrap-distance-left:9.05pt;mso-wrap-distance-top:0pt;mso-wrap-distance-right:9.05pt;mso-wrap-distance-bottom:0pt;" strokecolor="#000000" strokeweight="0.7370079pt">
              <v:stroke dashstyle="solid" linestyle="single" joinstyle="miter" endcap="flat" color2="#000000" startarrow="none" startarrowwidth="medium" startarrowlength="medium" endarrow="none" endarrowwidth="medium" endarrowlength="medium"/>
              <v:fill opacity="65536f" color2="#FFFFFF"/>
            </v:shape>
          </w:pict>
        </ve:Fallback>
      </ve:AlternateContent>
    </w:r>
    <w:r>
      <w:rPr>
        <w:lang w:val="hr-HR"/>
      </w:rPr>
      <w:t xml:space="preserve">PRAVILNIK O ZAŠTITI NA RADU</w:t>
    </w: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0CF738FD">
    <w:pPr>
      <w:pStyle w:val="Zaglavlj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37472"/>
    <w:lvl w:ilvl="0">
      <w:start w:val="1"/>
      <w:numFmt w:val="bullet"/>
      <w:suff w:val="tab"/>
      <w:lvlText w:val="•"/>
      <w:pPr>
        <w:spacing/>
        <w:ind w:left="72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1A207E31"/>
    <w:lvl w:ilvl="0">
      <w:start w:val="1"/>
      <w:numFmt w:val="bullet"/>
      <w:suff w:val="tab"/>
      <w:lvlText w:val="●"/>
      <w:pPr>
        <w:spacing/>
        <w:ind w:left="720" w:hanging="360"/>
      </w:pPr>
      <w:rPr/>
    </w:lvl>
    <w:lvl w:ilvl="1">
      <w:start w:val="1"/>
      <w:numFmt w:val="bullet"/>
      <w:suff w:val="tab"/>
      <w:lvlText w:val="○"/>
      <w:pPr>
        <w:spacing/>
        <w:ind w:left="1440" w:hanging="360"/>
      </w:pPr>
      <w:rPr/>
    </w:lvl>
    <w:lvl w:ilvl="2">
      <w:start w:val="1"/>
      <w:numFmt w:val="bullet"/>
      <w:suff w:val="tab"/>
      <w:lvlText w:val="■"/>
      <w:pPr>
        <w:spacing/>
        <w:ind w:left="2160" w:hanging="360"/>
      </w:pPr>
      <w:rPr/>
    </w:lvl>
    <w:lvl w:ilvl="3">
      <w:start w:val="1"/>
      <w:numFmt w:val="bullet"/>
      <w:suff w:val="tab"/>
      <w:lvlText w:val="●"/>
      <w:pPr>
        <w:spacing/>
        <w:ind w:left="2880" w:hanging="360"/>
      </w:pPr>
      <w:rPr/>
    </w:lvl>
    <w:lvl w:ilvl="4">
      <w:start w:val="1"/>
      <w:numFmt w:val="bullet"/>
      <w:suff w:val="tab"/>
      <w:lvlText w:val="○"/>
      <w:pPr>
        <w:spacing/>
        <w:ind w:left="3600" w:hanging="360"/>
      </w:pPr>
      <w:rPr/>
    </w:lvl>
    <w:lvl w:ilvl="5">
      <w:start w:val="1"/>
      <w:numFmt w:val="bullet"/>
      <w:suff w:val="tab"/>
      <w:lvlText w:val="■"/>
      <w:pPr>
        <w:spacing/>
        <w:ind w:left="4320" w:hanging="360"/>
      </w:pPr>
      <w:rPr/>
    </w:lvl>
    <w:lvl w:ilvl="6">
      <w:start w:val="1"/>
      <w:numFmt w:val="bullet"/>
      <w:suff w:val="tab"/>
      <w:lvlText w:val="●"/>
      <w:pPr>
        <w:spacing/>
        <w:ind w:left="5040" w:hanging="360"/>
      </w:pPr>
      <w:rPr/>
    </w:lvl>
    <w:lvl w:ilvl="7">
      <w:start w:val="1"/>
      <w:numFmt w:val="bullet"/>
      <w:suff w:val="tab"/>
      <w:lvlText w:val="●"/>
      <w:pPr>
        <w:spacing/>
        <w:ind w:left="5760" w:hanging="360"/>
      </w:pPr>
      <w:rPr/>
    </w:lvl>
    <w:lvl w:ilvl="8">
      <w:start w:val="1"/>
      <w:numFmt w:val="bullet"/>
      <w:suff w:val="tab"/>
      <w:lvlText w:val="●"/>
      <w:pPr>
        <w:spacing/>
        <w:ind w:left="6480" w:hanging="360"/>
      </w:pPr>
      <w:rPr/>
    </w:lvl>
  </w:abstractNum>
  <w:abstractNum w:abstractNumId="2">
    <w:nsid w:val="5A7D3DDC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734E486D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isplayBackgroundShape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uiPriority w:val="9"/>
    <w:qFormat/>
    <w:pPr>
      <w:spacing w:before="320" w:after="160"/>
      <w:outlineLvl w:val="0"/>
    </w:pPr>
    <w:rPr>
      <w:b/>
      <w:bCs/>
      <w:color w:val="1F3864"/>
      <w:sz w:val="26"/>
      <w:szCs w:val="26"/>
    </w:rPr>
  </w:style>
  <w:style w:type="paragraph" w:styleId="Naslov2">
    <w:name w:val="Heading 2"/>
    <w:uiPriority w:val="9"/>
    <w:unhideWhenUsed/>
    <w:qFormat/>
    <w:pPr>
      <w:spacing w:before="220" w:after="120"/>
      <w:outlineLvl w:val="1"/>
    </w:pPr>
    <w:rPr>
      <w:b/>
      <w:bCs/>
      <w:color w:val="1F3864"/>
      <w:sz w:val="23"/>
      <w:szCs w:val="23"/>
    </w:rPr>
  </w:style>
  <w:style w:type="paragraph" w:styleId="Naslov3">
    <w:name w:val="Heading 3"/>
    <w:uiPriority w:val="9"/>
    <w:semiHidden/>
    <w:unhideWhenUsed/>
    <w:qFormat/>
    <w:pPr>
      <w:spacing/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spacing/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spacing/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spacing/>
      <w:outlineLvl w:val="5"/>
    </w:pPr>
    <w:rPr>
      <w:color w:val="1F4D78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Naslov">
    <w:name w:val="Title"/>
    <w:uiPriority w:val="10"/>
    <w:qFormat/>
    <w:pPr>
      <w:spacing/>
    </w:pPr>
    <w:rPr>
      <w:sz w:val="56"/>
      <w:szCs w:val="56"/>
    </w:rPr>
  </w:style>
  <w:style w:type="paragraph" w:styleId="Naglaeno1" w:customStyle="1">
    <w:name w:val="Naglašeno1"/>
    <w:qFormat/>
    <w:pPr>
      <w:spacing/>
    </w:pPr>
    <w:rPr>
      <w:b/>
      <w:bCs/>
    </w:rPr>
  </w:style>
  <w:style w:type="paragraph" w:styleId="Odlomakpopisa">
    <w:name w:val="List Paragraph"/>
    <w:qFormat/>
    <w:pPr>
      <w:spacing/>
    </w:pPr>
    <w:rPr/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pPr>
      <w:spacing/>
    </w:pPr>
    <w:rPr>
      <w:sz w:val="20"/>
      <w:szCs w:val="20"/>
    </w:rPr>
  </w:style>
  <w:style w:type="character" w:styleId="TekstfusnoteChar" w:customStyle="1">
    <w:name w:val="Tekst fusnote Char"/>
    <w:basedOn w:val="Zadanifontodlomka"/>
    <w:link w:val="FootnoteText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škeChar"/>
    <w:uiPriority w:val="99"/>
    <w:semiHidden/>
    <w:unhideWhenUsed/>
    <w:pPr>
      <w:spacing/>
    </w:pPr>
    <w:rPr>
      <w:sz w:val="20"/>
      <w:szCs w:val="20"/>
    </w:rPr>
  </w:style>
  <w:style w:type="character" w:styleId="TekstkrajnjebiljekeChar" w:customStyle="1">
    <w:name w:val="Tekst krajnje bilješke Char"/>
    <w:basedOn w:val="Zadanifontodlomka"/>
    <w:link w:val="EndnoteText"/>
    <w:uiPriority w:val="99"/>
    <w:semiHidden/>
    <w:unhideWhenUsed/>
    <w:rPr>
      <w:sz w:val="20"/>
      <w:szCs w:val="20"/>
    </w:rPr>
  </w:style>
  <w:style w:type="paragraph" w:styleId="Default" w:customStyle="1">
    <w:name w:val="Default"/>
    <w:qFormat/>
    <w:pPr>
      <w:suppressAutoHyphens/>
      <w:autoSpaceDE w:val="false"/>
      <w:spacing/>
    </w:pPr>
    <w:rPr>
      <w:rFonts w:ascii="Times New Roman" w:hAnsi="Times New Roman" w:eastAsia="Calibri" w:cs="Times New Roman"/>
      <w:color w:val="000000"/>
      <w:sz w:val="24"/>
      <w:szCs w:val="24"/>
      <w:lang w:val="hr-HR" w:eastAsia="zh-CN"/>
    </w:rPr>
  </w:style>
  <w:style w:type="paragraph" w:styleId="Zaglavlje">
    <w:name w:val="Header"/>
    <w:basedOn w:val="Normal"/>
    <w:link w:val="ZaglavljeChar"/>
    <w:pPr>
      <w:tabs>
        <w:tab w:val="center" w:pos="4680"/>
        <w:tab w:val="right" w:pos="9360"/>
      </w:tabs>
      <w:suppressAutoHyphens/>
      <w:spacing/>
    </w:pPr>
    <w:rPr>
      <w:rFonts w:ascii="Calibri" w:hAnsi="Calibri" w:eastAsia="Calibri"/>
      <w:sz w:val="20"/>
      <w:szCs w:val="20"/>
      <w:lang w:eastAsia="zh-CN"/>
    </w:rPr>
  </w:style>
  <w:style w:type="character" w:styleId="ZaglavljeChar" w:customStyle="1">
    <w:name w:val="Zaglavlje Char"/>
    <w:basedOn w:val="Zadanifontodlomka"/>
    <w:link w:val="Header"/>
    <w:rPr>
      <w:rFonts w:ascii="Calibri" w:hAnsi="Calibri" w:eastAsia="Calibri"/>
      <w:sz w:val="20"/>
      <w:szCs w:val="20"/>
      <w:lang w:eastAsia="zh-CN"/>
    </w:rPr>
  </w:style>
  <w:style w:type="paragraph" w:styleId="Podnoje">
    <w:name w:val="Footer"/>
    <w:basedOn w:val="Normal"/>
    <w:link w:val="PodnožjeChar"/>
    <w:uiPriority w:val="99"/>
    <w:pPr>
      <w:tabs>
        <w:tab w:val="center" w:pos="4680"/>
        <w:tab w:val="right" w:pos="9360"/>
      </w:tabs>
      <w:suppressAutoHyphens/>
      <w:spacing/>
    </w:pPr>
    <w:rPr>
      <w:rFonts w:ascii="Calibri" w:hAnsi="Calibri" w:eastAsia="Calibri"/>
      <w:sz w:val="20"/>
      <w:szCs w:val="20"/>
      <w:lang w:eastAsia="zh-CN"/>
    </w:rPr>
  </w:style>
  <w:style w:type="character" w:styleId="PodnojeChar" w:customStyle="1">
    <w:name w:val="Podnožje Char"/>
    <w:basedOn w:val="Zadanifontodlomka"/>
    <w:link w:val="Footer"/>
    <w:uiPriority w:val="99"/>
    <w:rPr>
      <w:rFonts w:ascii="Calibri" w:hAnsi="Calibri" w:eastAsia="Calibri"/>
      <w:sz w:val="20"/>
      <w:szCs w:val="20"/>
      <w:lang w:eastAsia="zh-CN"/>
    </w:rPr>
  </w:style>
  <w:style w:type="character" w:styleId="Zadanifontodlomka1" w:customStyle="1">
    <w:name w:val="Zadani font odlomka1"/>
    <w:basedOn w:val="Zadanifontodlomka"/>
    <w:rPr/>
  </w:style>
  <w:style w:type="table" w:styleId="Reetkatablice">
    <w:name w:val="Table Grid"/>
    <w:basedOn w:val="Obinatablica"/>
    <w:uiPriority w:val="39"/>
    <w:rPr>
      <w:rFonts w:asciiTheme="minorHAnsi" w:hAnsiTheme="minorHAnsi" w:eastAsiaTheme="minorHAnsi" w:cstheme="minorBidi"/>
      <w:lang w:val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10" Type="http://schemas.openxmlformats.org/officeDocument/2006/relationships/numbering" Target="numbering.xml" /><Relationship Id="rId4" Type="http://schemas.openxmlformats.org/officeDocument/2006/relationships/footer" Target="footer4.xml" /><Relationship Id="rId6" Type="http://schemas.openxmlformats.org/officeDocument/2006/relationships/footer" Target="footer6.xml" /><Relationship Id="rId3" Type="http://schemas.openxmlformats.org/officeDocument/2006/relationships/header" Target="header3.xml" /><Relationship Id="rId5" Type="http://schemas.openxmlformats.org/officeDocument/2006/relationships/header" Target="header5.xml" /><Relationship Id="rId11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8</Pages>
  <Words>1849</Words>
  <Characters>10542</Characters>
  <Application>Microsoft Office Word</Application>
  <DocSecurity>0</DocSecurity>
  <Lines>87</Lines>
  <Paragraphs>24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Tanja Boban</cp:lastModifiedBy>
  <cp:revision>3</cp:revision>
  <dcterms:created xsi:type="dcterms:W3CDTF">2026-10-09T09:09:00Z</dcterms:created>
  <dcterms:modified xsi:type="dcterms:W3CDTF">2026-10-09T09:10:00Z</dcterms:modified>
</cp:coreProperties>
</file>