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F214F">
      <w:pPr>
        <w:spacing w:after="160" w:line="259" w:lineRule="auto"/>
        <w:rPr>
          <w:rFonts w:ascii="Times New Roman" w:hAnsi="Times New Roman" w:eastAsiaTheme="minorHAnsi" w:cs="Times New Roman"/>
          <w:b/>
        </w:rPr>
      </w:pPr>
    </w:p>
    <w:p w14:paraId="79ADC1C4">
      <w:pPr>
        <w:spacing w:after="160" w:line="259" w:lineRule="auto"/>
        <w:rPr>
          <w:rFonts w:ascii="Times New Roman" w:hAnsi="Times New Roman" w:eastAsiaTheme="minorHAnsi" w:cs="Times New Roman"/>
          <w:b/>
        </w:rPr>
      </w:pPr>
      <w:bookmarkStart w:id="2" w:name="_Hlk242261092"/>
      <w:r>
        <w:rPr>
          <w:rFonts w:ascii="Times New Roman" w:hAnsi="Times New Roman" w:eastAsiaTheme="minorHAnsi" w:cs="Times New Roman"/>
          <w:b/>
        </w:rPr>
        <w:t xml:space="preserve">   </w:t>
      </w:r>
      <w:r>
        <w:rPr>
          <w:rFonts w:ascii="Times New Roman" w:hAnsi="Times New Roman" w:eastAsiaTheme="minorHAnsi" w:cs="Times New Roman"/>
          <w:b/>
        </w:rPr>
        <w:t xml:space="preserve">                </w:t>
      </w:r>
      <w:r>
        <w:rPr>
          <w:rFonts w:ascii="Times New Roman" w:hAnsi="Times New Roman" w:eastAsiaTheme="minorHAnsi" w:cs="Times New Roman"/>
          <w:b/>
        </w:rPr>
        <w:t xml:space="preserve"> </w:t>
      </w:r>
      <w:r>
        <w:rPr>
          <w:noProof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1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b/>
        </w:rPr>
        <w:t xml:space="preserve">    </w:t>
      </w:r>
    </w:p>
    <w:p w14:paraId="19EF75F7">
      <w:pPr>
        <w:spacing w:line="259" w:lineRule="auto"/>
        <w:rPr>
          <w:rFonts w:ascii="Times New Roman" w:hAnsi="Times New Roman" w:eastAsiaTheme="minorHAnsi" w:cs="Times New Roman"/>
          <w:b/>
        </w:rPr>
      </w:pPr>
      <w:r>
        <w:rPr>
          <w:rFonts w:ascii="Times New Roman" w:hAnsi="Times New Roman" w:eastAsiaTheme="minorHAnsi" w:cs="Times New Roman"/>
          <w:b/>
        </w:rPr>
        <w:t xml:space="preserve">  REPUBLIKA   HRVATSKA</w:t>
      </w:r>
      <w:r>
        <w:rPr>
          <w:rFonts w:ascii="Times New Roman" w:hAnsi="Times New Roman" w:eastAsiaTheme="minorHAnsi" w:cs="Times New Roman"/>
          <w:b/>
        </w:rPr>
        <w:t xml:space="preserve"> </w:t>
      </w:r>
      <w:r>
        <w:rPr>
          <w:rFonts w:ascii="Times New Roman" w:hAnsi="Times New Roman" w:eastAsiaTheme="minorHAnsi" w:cs="Times New Roman"/>
          <w:b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b/>
        </w:rPr>
        <w:t xml:space="preserve">                                                                       </w:t>
      </w:r>
      <w:r>
        <w:rPr>
          <w:rFonts w:ascii="Times New Roman" w:hAnsi="Times New Roman" w:eastAsiaTheme="minorHAnsi" w:cs="Times New Roman"/>
          <w:b/>
        </w:rPr>
        <w:t xml:space="preserve">                               </w:t>
      </w:r>
      <w:r>
        <w:rPr>
          <w:rFonts w:ascii="Times New Roman" w:hAnsi="Times New Roman" w:eastAsiaTheme="minorHAnsi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</w:rPr>
        <w:t xml:space="preserve">                  </w:t>
      </w:r>
      <w:r>
        <w:rPr>
          <w:rFonts w:ascii="Times New Roman" w:hAnsi="Times New Roman" w:eastAsiaTheme="minorHAnsi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42"/>
        <w:gridCol w:w="2684"/>
      </w:tblGrid>
      <w:tr>
        <w:trPr>
          <w:trHeight w:val="80" w:hRule="atLeast"/>
        </w:trPr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3" w:name="_Hlk128748807"/>
            <w:r>
              <w:rPr>
                <w:rFonts w:ascii="Times New Roman" w:hAnsi="Times New Roman" w:cs="Times New Roman"/>
                <w:b/>
              </w:rPr>
              <w:t xml:space="preserve">SREDNJA ŠKOLA IVANA LUCIĆA TROGIR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Put Muline 2B, 21220 Trogir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KLASA:       </w:t>
            </w:r>
            <w:r>
              <w:rPr>
                <w:rFonts w:ascii="Times New Roman" w:hAnsi="Times New Roman" w:cs="Times New Roman"/>
                <w:noProof/>
              </w:rPr>
              <w:t xml:space="preserve">115-03/26-01/3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 xml:space="preserve">2184-31-26-1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Trogir,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7.10.2026.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  <w:bookmarkEnd w:id="3"/>
    </w:tbl>
    <w:p w14:paraId="322B9422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CDEAB7A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156539F8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676D9FFB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100DFEC6">
      <w:pPr>
        <w:spacing w:before="200" w:after="100"/>
        <w:jc w:val="center"/>
        <w:rPr>
          <w:rFonts w:asciiTheme="minorHAnsi" w:hAnsiTheme="minorHAnsi" w:eastAsia="Cambria" w:cstheme="minorHAnsi"/>
          <w:sz w:val="80"/>
          <w:szCs w:val="20"/>
          <w:lang w:val="hr-HR" w:eastAsia="zh-CN"/>
        </w:rPr>
      </w:pPr>
      <w:r>
        <w:rPr>
          <w:rFonts w:asciiTheme="minorHAnsi" w:hAnsiTheme="minorHAnsi" w:eastAsia="Cambria" w:cstheme="minorHAnsi"/>
          <w:sz w:val="80"/>
          <w:szCs w:val="20"/>
          <w:lang w:val="hr-HR" w:eastAsia="zh-CN"/>
        </w:rPr>
        <w:t xml:space="preserve">PROTOKOL</w:t>
      </w:r>
    </w:p>
    <w:p w14:paraId="03F39B25">
      <w:pPr>
        <w:spacing w:after="100"/>
        <w:jc w:val="center"/>
        <w:rPr>
          <w:rFonts w:asciiTheme="minorHAnsi" w:hAnsiTheme="minorHAnsi" w:eastAsia="Cambria" w:cstheme="minorHAnsi"/>
          <w:sz w:val="80"/>
          <w:szCs w:val="20"/>
          <w:lang w:val="hr-HR" w:eastAsia="zh-CN"/>
        </w:rPr>
      </w:pPr>
      <w:r>
        <w:rPr>
          <w:rFonts w:asciiTheme="minorHAnsi" w:hAnsiTheme="minorHAnsi" w:eastAsia="Cambria" w:cstheme="minorHAnsi"/>
          <w:sz w:val="80"/>
          <w:szCs w:val="20"/>
          <w:lang w:val="hr-HR" w:eastAsia="zh-CN"/>
        </w:rPr>
        <w:t xml:space="preserve">O POSTUPANJU U SLUČAJU POŽARA</w:t>
      </w:r>
    </w:p>
    <w:p w14:paraId="3D9173A3">
      <w:pPr>
        <w:suppressAutoHyphens/>
        <w:spacing w:line="276" w:lineRule="auto"/>
        <w:jc w:val="both"/>
        <w:rPr>
          <w:rFonts w:asciiTheme="minorHAnsi" w:hAnsiTheme="minorHAnsi" w:eastAsia="Cambria" w:cstheme="minorHAnsi"/>
          <w:sz w:val="80"/>
          <w:szCs w:val="20"/>
          <w:lang w:val="hr-HR" w:eastAsia="zh-CN"/>
        </w:rPr>
      </w:pPr>
    </w:p>
    <w:p w14:paraId="14784CF2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662CA66B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59F95426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D1E2A9E">
      <w:pPr>
        <w:pStyle w:val="Default"/>
        <w:spacing w:line="276" w:lineRule="auto"/>
        <w:jc w:val="center"/>
        <w:rPr>
          <w:rFonts w:asciiTheme="minorHAnsi" w:hAnsiTheme="minorHAnsi" w:eastAsia="Times New Roman" w:cstheme="minorHAnsi"/>
          <w:i/>
          <w:color w:val="auto"/>
          <w:sz w:val="44"/>
          <w:szCs w:val="44"/>
        </w:rPr>
      </w:pPr>
    </w:p>
    <w:p w14:paraId="1955D00F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auto"/>
          <w:sz w:val="28"/>
          <w:szCs w:val="28"/>
        </w:rPr>
      </w:pPr>
      <w:r>
        <w:rPr>
          <w:rFonts w:asciiTheme="minorHAnsi" w:hAnsiTheme="minorHAnsi" w:cstheme="minorHAnsi"/>
          <w:i/>
          <w:color w:val="auto"/>
          <w:sz w:val="28"/>
          <w:szCs w:val="28"/>
        </w:rPr>
        <w:t xml:space="preserve">Srednja škola Ivana Lucića - Trogir</w:t>
      </w:r>
    </w:p>
    <w:p w14:paraId="0C1B8F11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auto"/>
          <w:sz w:val="28"/>
          <w:szCs w:val="28"/>
        </w:rPr>
      </w:pPr>
      <w:r>
        <w:rPr>
          <w:rFonts w:asciiTheme="minorHAnsi" w:hAnsiTheme="minorHAnsi" w:cstheme="minorHAnsi"/>
          <w:i/>
          <w:color w:val="auto"/>
          <w:sz w:val="28"/>
          <w:szCs w:val="28"/>
        </w:rPr>
        <w:t xml:space="preserve">Put Muline 2B, 21220 Trogir</w:t>
      </w:r>
    </w:p>
    <w:p w14:paraId="184C3AD2">
      <w:pPr>
        <w:spacing w:line="276" w:lineRule="auto"/>
        <w:jc w:val="center"/>
        <w:rPr>
          <w:rFonts w:asciiTheme="minorHAnsi" w:hAnsiTheme="minorHAnsi" w:eastAsia="Times New Roman" w:cstheme="minorHAnsi"/>
          <w:i/>
          <w:sz w:val="24"/>
          <w:szCs w:val="28"/>
          <w:lang w:val="hr-HR"/>
        </w:rPr>
      </w:pPr>
    </w:p>
    <w:p w14:paraId="3F79543E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2CA1B314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525FD6F6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1C68D42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7925FA69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1047B64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63FE7EDF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35561F28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3F61BD2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53961C68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0CCA8CF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0674DDAD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7044A164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3F06574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0870CAD1">
      <w:pPr>
        <w:spacing w:line="276" w:lineRule="auto"/>
        <w:jc w:val="center"/>
        <w:rPr>
          <w:rFonts w:asciiTheme="minorHAnsi" w:hAnsiTheme="minorHAnsi" w:eastAsia="Times New Roman" w:cstheme="minorHAnsi"/>
          <w:lang w:val="hr-HR"/>
        </w:rPr>
      </w:pPr>
    </w:p>
    <w:p w14:paraId="6A2165D3">
      <w:pPr>
        <w:spacing w:line="276" w:lineRule="auto"/>
        <w:jc w:val="center"/>
        <w:rPr>
          <w:rFonts w:asciiTheme="minorHAnsi" w:hAnsiTheme="minorHAnsi" w:cstheme="minorHAnsi"/>
          <w:lang w:val="sv-SE"/>
        </w:rPr>
      </w:pPr>
      <w:r>
        <w:rPr>
          <w:rStyle w:val="Zadanifontodlomka1"/>
          <w:rFonts w:asciiTheme="minorHAnsi" w:hAnsiTheme="minorHAnsi" w:eastAsia="Cambria" w:cstheme="minorHAnsi"/>
          <w:sz w:val="24"/>
          <w:szCs w:val="24"/>
          <w:lang w:val="sv-SE"/>
        </w:rPr>
        <w:t xml:space="preserve">Kolovoz, 2026.</w:t>
      </w:r>
    </w:p>
    <w:p w14:paraId="1828A0A9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1. PRAVNA OSNOVA I SVRHA PROTOKOLA</w:t>
      </w:r>
    </w:p>
    <w:p w14:paraId="69A82E70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Sigurnost i zdravlje učenika, nastavnika, stručnih suradnika i ostalih radnika prioritet je Srednje škole Ivana Lucića – Trogir (dalje: Škola). Ovaj Protokol utvrđuje postupanje u slučaju nastanka požara u zgradi Škole ili njezinoj neposrednoj blizini te je sastavni dio Plana evakuacije i spašavanja Škole.</w:t>
      </w:r>
    </w:p>
    <w:p w14:paraId="740A5D9E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se donosi na temelju:</w:t>
      </w:r>
    </w:p>
    <w:p w14:paraId="4CB67BE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21. Zakona o zaštiti od požara (Narodne novine, br. 92/10, 114/22),</w:t>
      </w:r>
    </w:p>
    <w:p w14:paraId="0FBCDA9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Pravilnika o zaštiti od požara Srednje škole Ivana Lucića – Trogir (ožujak 2026.), a posebno njegovih odredbi o ustrojstvu motrenja, javljanja i uzbunjivanja (čl. 60. – 65.) te o postupanju djelatnika u slučaju nastanka požara (čl. 88. – 92.),</w:t>
      </w:r>
    </w:p>
    <w:p w14:paraId="5B1A7BC4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125. stavka 3. Zakona o odgoju i obrazovanju u osnovnoj i srednjoj školi (Narodne novine, br. 87/08, 86/09, 92/10, 105/10 – ispravak, 90/11, 16/12, 86/12, 94/13, 152/14, 7/17, 68/18, 98/19, 64/20, 151/22, 156/23),</w:t>
      </w:r>
    </w:p>
    <w:p w14:paraId="220AEEC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28. Zakona o radu (Narodne novine, br. 93/14, 127/17, 98/19, 151/22, 64/23),</w:t>
      </w:r>
    </w:p>
    <w:p w14:paraId="18777408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55. stavka 1. Zakona o zaštiti na radu (Narodne novine, br. 71/14, 118/14, 94/18, 96/18).</w:t>
      </w:r>
    </w:p>
    <w:p w14:paraId="39AB16AC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Sukladno navedenim propisima, Škola je dužna zaposlenike i učenike upoznati s postupcima ponašanja u slučaju požara, održavati u ispravnom stanju opremu i sredstva za dojavu i gašenje požara te redovito provoditi vježbe evakuacije.</w:t>
      </w:r>
    </w:p>
    <w:p w14:paraId="73918E10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2. PREVENTIVNE MJERE ZAŠTITE OD POŽARA</w:t>
      </w:r>
    </w:p>
    <w:p w14:paraId="3203E3E4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Električne uređaje (računala, projektore, električna kuhala i sl.) koristiti isključivo sukladno uputama proizvođača.</w:t>
      </w:r>
    </w:p>
    <w:p w14:paraId="5A4A60D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Zapaljive i eksplozivne tvari (npr. sprejevi, boje, kemikalije iz kabineta) primjereno označiti i skladištiti, sukladno Pravilniku o zaštiti od požara Škole.</w:t>
      </w:r>
    </w:p>
    <w:p w14:paraId="72720F1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Osigurati nesmetan pristup vatrogasnim vozilima u krugu Škole; ne parkirati vozila u blizini hidranata i vatrogasnih uređaja.</w:t>
      </w:r>
    </w:p>
    <w:p w14:paraId="1CB9D048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Evakuacijske putove, hodnike i stubišta u svakom trenutku držati prohodnima i slobodnima od prepreka.</w:t>
      </w:r>
    </w:p>
    <w:p w14:paraId="1F78156D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djelatnici dužni su upoznati se s grafičkim planom evakuacije na kojem su označena mjesta vatrogasnih aparata, hidranata i ormarića prve pomoći.</w:t>
      </w:r>
    </w:p>
    <w:p w14:paraId="5CDAC41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Škola redovito servisira i kontrolira vatrogasne aparate, hidrante i protupožarne instalacije te vodi propisanu evidenciju.</w:t>
      </w:r>
    </w:p>
    <w:p w14:paraId="4FA0DFB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djelatnici moraju biti osposobljeni za rukovanje priručnom opremom za gašenje početnih požara (aparati s prahom/CO₂).</w:t>
      </w:r>
    </w:p>
    <w:p w14:paraId="69B2A4D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 ulazima u prostore s povećanim rizikom ističu se oznake „Zabranjeno pušenje“ i „Zabrana unošenja otvorenog plamena“; pušenje u svim prostorima i prostoru Škole zabranjeno je propisima.</w:t>
      </w:r>
    </w:p>
    <w:p w14:paraId="056B1C5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Vrata na evakuacijskim putovima moraju se lako otvarati u smjeru izlaska te se ne smije mijenjati njihov smjer otvaranja.</w:t>
      </w:r>
    </w:p>
    <w:p w14:paraId="792ABA3F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 MOTRENJE, JAVLJANJE I UZBUNJIVANJE</w:t>
      </w:r>
    </w:p>
    <w:p w14:paraId="77380D20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3.1. Motrenje</w:t>
      </w:r>
    </w:p>
    <w:p w14:paraId="3C5C89C6">
      <w:pPr>
        <w:spacing w:after="140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djelatnici Škole u okviru svojih radnih zadataka dužni su motriti pojavu požara ili okolnosti koje bi mogle dovesti do njegovog nastanka</w:t>
      </w:r>
      <w:r>
        <w:rPr>
          <w:rFonts w:asciiTheme="minorHAnsi" w:hAnsiTheme="minorHAnsi" w:cstheme="minorHAnsi"/>
          <w:lang w:val="hr-HR"/>
        </w:rPr>
        <w:t xml:space="preserve">.</w:t>
      </w:r>
    </w:p>
    <w:p w14:paraId="451E423A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3.2. Javljanje o požaru</w:t>
      </w:r>
    </w:p>
    <w:p w14:paraId="34DF87FB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Svaki djelatnik, učenik ili druga osoba koja opazi da je izbio požar, ili uoči stanje koje bi moglo izazvati požar, dužna je odmah, bez odgode i bez obzira na veličinu požara, o tome obavijestiti vatrogasnu postrojbu (112 ili 193).</w:t>
      </w:r>
    </w:p>
    <w:p w14:paraId="7E708B03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Prilikom dojave potrebno je navesti sljedeće podatke:</w:t>
      </w:r>
    </w:p>
    <w:p w14:paraId="3E91E255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ime i prezime i broj telefona osobe koja dojavljuje,</w:t>
      </w:r>
    </w:p>
    <w:p w14:paraId="7DA4B49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točnu adresu i lokaciju požara (Put Muline 2B, Trogir) te najbliži pristup vatrogasnim vozilima,</w:t>
      </w:r>
    </w:p>
    <w:p w14:paraId="32B1CDCB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nalazi li se požar u zgradi ili na otvorenom prostoru,</w:t>
      </w:r>
    </w:p>
    <w:p w14:paraId="6A30A7CE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vrstu materijala koji gori, ako je poznato,</w:t>
      </w:r>
    </w:p>
    <w:p w14:paraId="67A2797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ima li ozlijeđenih osoba.</w:t>
      </w:r>
    </w:p>
    <w:p w14:paraId="5F1B2FE2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Nakon poziva žurnim službama linija se oslobađa i ostaje dostupna dok ne dođe pomoć; dojavitelj po mogućnosti osobno dočekuje vatrogasce na ulazu.</w:t>
      </w:r>
    </w:p>
    <w:p w14:paraId="3108E6E4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3.3. Uzbunjivanje</w:t>
      </w:r>
    </w:p>
    <w:p w14:paraId="3D8E80FC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Uzbunjivanje djelatnika i učenika provodi se aktiviranjem zvučnog signala za uzbunu ili usmeno, putem dežurne odnosno najbliže prisutne osobe. Djelatnici i učenici koji se zateknu u prostoriji u kojoj je izbio požar dužni su, bez panike, odmah napustiti prostoriju.</w:t>
      </w:r>
    </w:p>
    <w:p w14:paraId="1EF71A51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 POSTUPANJE PRI OTKRIVANJU POŽARA U ZGRADI</w:t>
      </w:r>
    </w:p>
    <w:p w14:paraId="08B955F1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Djelatnik koji prvi opazi požar pokušava ga ugasiti raspoloživim sredstvima (aparat za gašenje) samo ako to može učiniti bez opasnosti za sebe ili druge; u suprotnom odmah uzbunjuje ostale i poziva vatrogasce.</w:t>
      </w:r>
    </w:p>
    <w:p w14:paraId="4922C116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Zatvoriti vrata prostorije u kojoj gori kako bi se usporilo širenje požara i dima.</w:t>
      </w:r>
    </w:p>
    <w:p w14:paraId="55564E38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Uzbuniti ostale djelatnike i učenike u zgradi; osoba najbliža uređaju za uzbunu aktivira zvučni signal ako to već nije učinjeno automatski.</w:t>
      </w:r>
    </w:p>
    <w:p w14:paraId="6B03A364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Prije napuštanja radnog mjesta, ako je moguće i sigurno: isključiti električnu struju, zatvoriti dovod plina, ukloniti na sigurno boce s plinom ili posude sa zapaljivim tekućinama te spriječiti nastanak panike.</w:t>
      </w:r>
    </w:p>
    <w:p w14:paraId="05A0267F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Odgovorna osoba za zaštitu od požara preuzima vođenje postupka do dolaska vatrogasne postrojbe te određuje potrebne mjere gašenja, evakuacije i spašavanja.</w:t>
      </w:r>
    </w:p>
    <w:p w14:paraId="6BF190A7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Odrasle osobe koje se zateknu u Školi u trenutku izbijanja požara dogovorno raspoređuju sljedeća zaduženja (vidi poglavlje 8. Tim i zaduženja): dojavu vatrogascima, pregled prostorija Škole (dvorana, prizemlje, kat/ovi) prije napuštanja zgrade, aktiviranje zvučne uzbune te izvođenje učenika iz zgrade.</w:t>
      </w:r>
    </w:p>
    <w:p w14:paraId="2D47518D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5. EVAKUACIJA IZ ZGRADE</w:t>
      </w:r>
    </w:p>
    <w:p w14:paraId="241063DE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Zgrada se napušta stubištem i najkraćim evakuacijskim putem, sukladno grafičkom planu evakuacije istaknutom u svakoj prostoriji.</w:t>
      </w:r>
    </w:p>
    <w:p w14:paraId="23D406BB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Učenici staju u red; nastavnik/osoblje provjerava jesu li svi učenici razreda prisutni te ih upućuje prema zbornom mjestu.</w:t>
      </w:r>
    </w:p>
    <w:p w14:paraId="1812E790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Ako je hodnik ispunjen dimom, potrebno je kretati se što niže uz razinu poda kako bi se izbjeglo udisanje dima, te prekriti usta i nos dijelom odjeće.</w:t>
      </w:r>
    </w:p>
    <w:p w14:paraId="284A388F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Tijekom kretanja svi se pridržavaju pravila desne strane hodnika/stubišta, kako bi lijeva strana ostala slobodna za kretanje interventnih službi.</w:t>
      </w:r>
    </w:p>
    <w:p w14:paraId="42689719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Nastavnici provjeravaju svoje učionice kako bi se uvjerili da nitko nije ostao te tek potom napuštaju prostoriju.</w:t>
      </w:r>
    </w:p>
    <w:p w14:paraId="4179690F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Djelatnici koji se zateknu u zbornici, knjižnici, kabinetu informatike ili dvorani smireno, bez panike i trčanja, napuštaju prostorije Škole prema zbornom mjestu, uz provjeru da nitko nije ostao u prostoriji (uključujući sanitarne čvorove).</w:t>
      </w:r>
    </w:p>
    <w:p w14:paraId="69C02928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Odgovorna osoba uzima popis učenika i djelatnika, izvodi ih na zborno mjesto te prebrojavanjem provjerava jesu li svi prisutni i na sigurnom.</w:t>
      </w:r>
    </w:p>
    <w:p w14:paraId="0BF7D307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Osobe zadužene za pregled prostorija (dvorana, prizemlje, kat) posljednje napuštaju zgradu, nakon što se međusobno usuglase da su sve prostorije provjerene i prazne.</w:t>
      </w:r>
    </w:p>
    <w:p w14:paraId="3D6771CF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Domar isključuje glavne sklopke struje i plina, ako to već nije učinjeno.</w:t>
      </w:r>
    </w:p>
    <w:p w14:paraId="4485E9DE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Zabranjeno je vraćati se natrag u zgradu nakon evakuacije.</w:t>
      </w:r>
    </w:p>
    <w:p w14:paraId="6069B10E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Djelatnici nastoje imati mobitel uz sebe kako bi bili dostupni kolegama i roditeljima učenika; roditelje se obavještava da po učenike mogu doći ispred Škole.</w:t>
      </w:r>
    </w:p>
    <w:p w14:paraId="51BA43E5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Zborno mjesto</w:t>
      </w:r>
    </w:p>
    <w:p w14:paraId="71CB91EA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Zborno mjesto (sabirna točka) za sve učenike i djelatnike Škole je: [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Dvorište škole (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ispred zgrade škole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)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 Put Muline 2B, Trogir]. Točna lokacija zbornog mjesta i evakuacijski putovi moraju biti usklađeni sa stvarnim rasporedom prostorija i grafičkim planom evakuacije Škole te vidljivo istaknuti u svim prostorima, zajedno s oznakama mjesta vatrogasnih aparata i ormarića prve pomoći.</w:t>
      </w:r>
    </w:p>
    <w:p w14:paraId="29A9A32A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6. POSTUPANJE U POSEBNIM SITUACIJAMA</w:t>
      </w:r>
    </w:p>
    <w:p w14:paraId="6BE53E20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6.1. Manji (početni) požari</w:t>
      </w:r>
    </w:p>
    <w:p w14:paraId="548D307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Manji požari ne smiju se podcijeniti – djelatnik koji uoči požar procjenjuje postoji li potreba za pozivanjem vatrogasaca.</w:t>
      </w:r>
    </w:p>
    <w:p w14:paraId="4789DD6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Požar se gasi u sagnutom položaju, radi vlastite sigurnosti; ako požar jako isijava toplinu, potrebno je potražiti zaklon.</w:t>
      </w:r>
    </w:p>
    <w:p w14:paraId="0EFEFEB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Gašenje se počinje s udaljenosti za koju se procijeni da je sigurna; pritom paziti da plamen ne zahvati osobu koja gasi niti da je poprska zapaljiva tekućina.</w:t>
      </w:r>
    </w:p>
    <w:p w14:paraId="677EDE4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Požar izazvan uljem ili mašću (npr. u kuhinji) prekriva se isključivo poklopcem ili vatrootpornim pokrivačem – voda se u tom slučaju nikada ne koristi.</w:t>
      </w:r>
    </w:p>
    <w:p w14:paraId="0922A9FB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 odluci gasi li se manji požar ili se aktivira protokol evakuacije cijele zgrade odlučuje djelatnik koji se zatekne na mjestu događaja; ako se aktivira zvučna uzbuna, svi djelatnici dužni su postupiti prema protokolu napuštanja zgrade, neovisno o vlastitoj procjeni.</w:t>
      </w:r>
    </w:p>
    <w:p w14:paraId="11DFC7A5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6.2. Zapaljena odjeća na osobi</w:t>
      </w:r>
    </w:p>
    <w:p w14:paraId="50FAC70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Osobi se pristupa s leđa, a tijelo joj se prekrije pokrivačem kako bi se ugušio plamen.</w:t>
      </w:r>
    </w:p>
    <w:p w14:paraId="3FB2395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Osobu treba polegnuti kako bi se spriječilo djelovanje plamena na lice i kosu; ne skidati odjeću koja se zalijepila za tijelo.</w:t>
      </w:r>
    </w:p>
    <w:p w14:paraId="334E0091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Ako je odjeća zapaljena na vama samima: legnite na pod, zaustavite gorenje kotrljanjem tijela po podu ili prekrivanjem plamena pokrivačem, a lice, kosu i dišne puteve zaštitite mokrom krpom ili ručnikom.</w:t>
      </w:r>
    </w:p>
    <w:p w14:paraId="5278853B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Odmah pozvati hitnu medicinsku pomoć (194 ili 112); unesrećenoj osobi davati dovoljno tekućine ako je pri svijesti i sposobna piti.</w:t>
      </w:r>
    </w:p>
    <w:p w14:paraId="749BF801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6.3. Ako ste zahvaćeni dimom</w:t>
      </w:r>
    </w:p>
    <w:p w14:paraId="1E863AD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Krećite se što niže uz pod, gdje je koncentracija dima manja.</w:t>
      </w:r>
    </w:p>
    <w:p w14:paraId="1E8B58E4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Prekrijte usta i nos vlažnom tkaninom kako biste smanjili udisanje dima i čađe.</w:t>
      </w:r>
    </w:p>
    <w:p w14:paraId="62DDEB0F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Ne otvarajte vrata koja su vruća na dodir – to može značiti da je s druge strane vatra.</w:t>
      </w:r>
    </w:p>
    <w:p w14:paraId="768F7C2E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7. TIM I ZADUŽENJA</w:t>
      </w:r>
    </w:p>
    <w:p w14:paraId="799BF9D4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 slučaj požara imenuju se osobe zadužene za pojedine zadatke navedene u tablici. Popis se ažurira na početku svake školske godine ili pri promjeni osoblja.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3"/>
        <w:gridCol w:w="3513"/>
      </w:tblGrid>
      <w:tr>
        <w:trPr>
          <w:tblHeader/>
        </w:trPr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Zaduženje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Osoba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Odgovorna osoba za zaštitu od požara / voditelj gašenja požara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Tomislav Čović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Osoba zadužena za dojavu požara vatrogascima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Vjekoslava Radić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Osoba koja aktivira zvučnu uzbunu (ako nije automatska)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Ante Parčina, Tonći Radić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Osoba odgovorna za izvođenje učenika iz zgrade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Martin Kabić, Siniša Geić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Osoba koja pregledava kat prije napuštanja zgrade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Ante Parčina, Tonći Radić</w:t>
            </w:r>
          </w:p>
        </w:tc>
      </w:tr>
      <w:tr>
        <w:trPr/>
        <w:tc>
          <w:tcPr>
            <w:tcW w:type="dxa" w:w="5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Domar – isključivanje struje i plina</w:t>
            </w:r>
          </w:p>
        </w:tc>
        <w:tc>
          <w:tcPr>
            <w:tcW w:type="dxa" w:w="3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Tomislav Čović</w:t>
            </w:r>
          </w:p>
        </w:tc>
      </w:tr>
    </w:tbl>
    <w:p w14:paraId="0AA0B116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8. EVAKUACIJSKI PUTOVI PO PROSTORIJAMA</w:t>
      </w:r>
    </w:p>
    <w:p w14:paraId="51B63D1C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Škola djeluje na 1. katu zgrade na adresi Put Muline 2B, Trogir, u sklopu koje se nalazi osam učionica, kabinet informatike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ured ravnatelja/ice, zbornica, ured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voditelja/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ispitnog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koordinatora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te školska knjižnica s čitaonicom. Tablicu u nastavku potrebno je dopuniti stvarnim rasporedom prostorija i pripadajućim evakuacijskim putovima, u skladu s grafičkim planom evakuacije istaknutim u svakoj prostoriji te rasporedom vatrogasnih aparata.</w:t>
      </w:r>
    </w:p>
    <w:p w14:paraId="4DEC9EB8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9"/>
        <w:gridCol w:w="3008"/>
      </w:tblGrid>
      <w:tr>
        <w:trPr>
          <w:tblHeader/>
        </w:trPr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Prostor / učionica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Evakuacijski put / izlaz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Zborno mjesto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Učionice (novi dio)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poredni izlaz /učionica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Kabinet informatike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poredni izlaz /učionica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Ured ravnatelja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/ice</w:t>
            </w:r>
          </w:p>
        </w:tc>
        <w:tc>
          <w:tcPr>
            <w:tcW w:type="dxa" w:w="3009"/>
            <w:vMerge w:val="restart"/>
            <w:tcBorders>
              <w:top w:val="single" w:color="999999" w:sz="2" w:space="0"/>
              <w:left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poredni izlaz /učionica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vMerge w:val="continue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Zbornica</w:t>
            </w:r>
          </w:p>
        </w:tc>
        <w:tc>
          <w:tcPr>
            <w:tcW w:type="dxa" w:w="3009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poredni izlaz /učionica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Sanitarni čvor (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muški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WC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)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i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hodnik u novom dijelu</w:t>
            </w:r>
          </w:p>
        </w:tc>
        <w:tc>
          <w:tcPr>
            <w:tcW w:type="dxa" w:w="3009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poredni izlaz /učionica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Učionice (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stari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dio)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Školska knjižnica i čitaonica</w:t>
            </w:r>
          </w:p>
        </w:tc>
        <w:tc>
          <w:tcPr>
            <w:tcW w:type="dxa" w:w="3009"/>
            <w:tcBorders>
              <w:top w:val="single" w:color="auto" w:sz="4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Ured voditelja/ispitnog koordinatora </w:t>
            </w:r>
            <w:r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Uredi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Sanitarni čvorovi (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WC za urede,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ženski WC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WC za nastavnike)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i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hodnik u starom dijelu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</w:tbl>
    <w:p w14:paraId="767B5E44">
      <w:pPr>
        <w:spacing/>
        <w:rPr>
          <w:rFonts w:asciiTheme="minorHAnsi" w:hAnsiTheme="minorHAnsi" w:cstheme="minorHAnsi"/>
          <w:b/>
          <w:bCs/>
          <w:sz w:val="26"/>
          <w:szCs w:val="26"/>
          <w:lang w:val="hr-HR"/>
        </w:rPr>
      </w:pPr>
    </w:p>
    <w:p w14:paraId="528CB739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9. EDUKACIJA I VJEŽBE EVAKUACIJE</w:t>
      </w:r>
    </w:p>
    <w:p w14:paraId="2BF4BAF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Najmanje jednom godišnje provodi se pokazna vježba evakuacije na razini cijele Škole; preporučuje se provođenje do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dvije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vježbe godišnje.</w:t>
      </w:r>
    </w:p>
    <w:p w14:paraId="66B6104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djelatnici dužni su unaprijed znati gdje se nalazi grafički plan/nacrt evakuacije, ormarić prve pomoći, zborno mjesto i vatrogasni aparati.</w:t>
      </w:r>
    </w:p>
    <w:p w14:paraId="719BD04E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 učenicima se primjereno razgovara o požarima, načinu zaštite od njih te se upoznaju s najsigurnijim mjestima u prostoru u kojem borave.</w:t>
      </w:r>
    </w:p>
    <w:p w14:paraId="01932FF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Nakon svake vježbe provodi se kratka analiza (vrijeme evakuacije, uočeni problemi, prijedlozi poboljšanja) te se, po potrebi, ažurira ovaj Protokol i plan evakuacije.</w:t>
      </w:r>
    </w:p>
    <w:p w14:paraId="06A47C8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Djelatnici zaduženi za rukovanje priručnom opremom za gašenje periodično prolaze provjeru znanja, sukladno Pravilniku o zaštiti od požara Škole.</w:t>
      </w:r>
    </w:p>
    <w:p w14:paraId="7846A883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</w:p>
    <w:p w14:paraId="53C9CBC8">
      <w:pPr>
        <w:spacing/>
        <w:rPr>
          <w:rFonts w:asciiTheme="minorHAnsi" w:hAnsiTheme="minorHAnsi" w:cstheme="minorHAnsi"/>
          <w:b/>
          <w:bCs/>
          <w:sz w:val="26"/>
          <w:szCs w:val="26"/>
          <w:lang w:val="hr-HR"/>
        </w:rPr>
      </w:pPr>
      <w:r>
        <w:rPr>
          <w:rFonts w:asciiTheme="minorHAnsi" w:hAnsiTheme="minorHAnsi" w:cstheme="minorHAnsi"/>
          <w:lang w:val="hr-HR"/>
        </w:rPr>
        <w:br w:type="page"/>
      </w:r>
    </w:p>
    <w:p w14:paraId="6F4A7121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10. VAŽNI TELEFONSKI BROJEVI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Broj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Služba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112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Jedinstveni broj za hitne službe (policija, vatrogasci, hitna pomoć)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193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Vatrogasci (izravna dojava požara)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194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Hitna medicinska pomoć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192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Policija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021/884-891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Tajništvo Škole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021/881-414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Ured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ravnatelj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a/ice</w:t>
            </w:r>
          </w:p>
        </w:tc>
      </w:tr>
    </w:tbl>
    <w:p w14:paraId="05AF3BEC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</w:p>
    <w:p w14:paraId="40086232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11. ZAVRŠNE ODREDBE</w:t>
      </w:r>
    </w:p>
    <w:p w14:paraId="1CABF83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Ovaj Protokol istaknut je na oglasnoj ploči Škole i dostupan je svim djelatnicima, učenicima i roditeljima na mrežnoj stranici Škole.</w:t>
      </w:r>
    </w:p>
    <w:p w14:paraId="0C5E774E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se preispituje na početku svake školske godine te po potrebi dopunjuje i mijenja, osobito nakon promjena u organizaciji prostora ili sastavu tima zaduženog za postupanje u slučaju požara.</w:t>
      </w:r>
    </w:p>
    <w:p w14:paraId="1F13A19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Nakon završenog gašenja požara osigurava se dežurstvo na mjestu događaja, sukladno procjeni mogućnosti ponovnog izbijanja požara, a uporabljena oprema i sredstva za gašenje dovode se u ispravno stanje.</w:t>
      </w:r>
    </w:p>
    <w:p w14:paraId="4F2ABE7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stupa na snagu danom donošenja.</w:t>
      </w:r>
    </w:p>
    <w:p w14:paraId="35D91C24">
      <w:pPr>
        <w:spacing w:before="500"/>
        <w:jc w:val="both"/>
        <w:rPr>
          <w:rFonts w:asciiTheme="minorHAnsi" w:hAnsiTheme="minorHAnsi" w:cstheme="minorHAnsi"/>
          <w:lang w:val="hr-HR"/>
        </w:rPr>
      </w:pPr>
    </w:p>
    <w:p w14:paraId="0C7D0898">
      <w:pPr>
        <w:spacing w:after="80"/>
        <w:jc w:val="right"/>
        <w:rPr>
          <w:rFonts w:asciiTheme="minorHAnsi" w:hAnsiTheme="minorHAnsi" w:cstheme="minorHAnsi"/>
          <w:lang w:val="hr-HR"/>
        </w:rPr>
      </w:pPr>
    </w:p>
    <w:p w14:paraId="33BF6A90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Ravnateljica:</w:t>
      </w:r>
    </w:p>
    <w:p w14:paraId="5167EAC2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</w:p>
    <w:p w14:paraId="1AA5E327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__________________</w:t>
      </w:r>
    </w:p>
    <w:p w14:paraId="69081E5D">
      <w:pPr>
        <w:tabs>
          <w:tab w:val="left" w:pos="7728"/>
        </w:tabs>
        <w:spacing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                                                                     Vjekoslava Radić, prof.</w:t>
      </w:r>
    </w:p>
    <w:p w14:paraId="7781D5C2">
      <w:pPr>
        <w:spacing/>
        <w:jc w:val="right"/>
        <w:rPr>
          <w:rFonts w:asciiTheme="minorHAnsi" w:hAnsiTheme="minorHAnsi" w:cstheme="minorHAnsi"/>
          <w:sz w:val="24"/>
          <w:szCs w:val="24"/>
          <w:lang w:val="hr-HR"/>
        </w:rPr>
      </w:pPr>
    </w:p>
    <w:p w14:paraId="54989D21">
      <w:pPr>
        <w:spacing w:before="500"/>
        <w:jc w:val="right"/>
        <w:rPr>
          <w:rFonts w:asciiTheme="minorHAnsi" w:hAnsiTheme="minorHAnsi" w:cstheme="minorHAnsi"/>
          <w:lang w:val="hr-HR"/>
        </w:rPr>
      </w:pPr>
    </w:p>
    <w:sectPr>
      <w:type w:val="nextPage"/>
      <w:pgSz w:w="11906" w:h="16838"/>
      <w:pgMar w:top="1440" w:right="1440" w:bottom="1440" w:left="1440" w:header="708" w:footer="708" w:gutter="0"/>
      <w:pgBorders/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4788E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1FD03705"/>
    <w:lvl w:ilvl="0">
      <w:start w:val="1"/>
      <w:numFmt w:val="bullet"/>
      <w:suff w:val="tab"/>
      <w:lvlText w:val="●"/>
      <w:pPr>
        <w:spacing/>
        <w:ind w:left="720" w:hanging="360"/>
      </w:pPr>
      <w:rPr/>
    </w:lvl>
    <w:lvl w:ilvl="1">
      <w:start w:val="1"/>
      <w:numFmt w:val="bullet"/>
      <w:suff w:val="tab"/>
      <w:lvlText w:val="○"/>
      <w:pPr>
        <w:spacing/>
        <w:ind w:left="1440" w:hanging="360"/>
      </w:pPr>
      <w:rPr/>
    </w:lvl>
    <w:lvl w:ilvl="2">
      <w:start w:val="1"/>
      <w:numFmt w:val="bullet"/>
      <w:suff w:val="tab"/>
      <w:lvlText w:val="■"/>
      <w:pPr>
        <w:spacing/>
        <w:ind w:left="2160" w:hanging="360"/>
      </w:pPr>
      <w:rPr/>
    </w:lvl>
    <w:lvl w:ilvl="3">
      <w:start w:val="1"/>
      <w:numFmt w:val="bullet"/>
      <w:suff w:val="tab"/>
      <w:lvlText w:val="●"/>
      <w:pPr>
        <w:spacing/>
        <w:ind w:left="2880" w:hanging="360"/>
      </w:pPr>
      <w:rPr/>
    </w:lvl>
    <w:lvl w:ilvl="4">
      <w:start w:val="1"/>
      <w:numFmt w:val="bullet"/>
      <w:suff w:val="tab"/>
      <w:lvlText w:val="○"/>
      <w:pPr>
        <w:spacing/>
        <w:ind w:left="3600" w:hanging="360"/>
      </w:pPr>
      <w:rPr/>
    </w:lvl>
    <w:lvl w:ilvl="5">
      <w:start w:val="1"/>
      <w:numFmt w:val="bullet"/>
      <w:suff w:val="tab"/>
      <w:lvlText w:val="■"/>
      <w:pPr>
        <w:spacing/>
        <w:ind w:left="4320" w:hanging="360"/>
      </w:pPr>
      <w:rPr/>
    </w:lvl>
    <w:lvl w:ilvl="6">
      <w:start w:val="1"/>
      <w:numFmt w:val="bullet"/>
      <w:suff w:val="tab"/>
      <w:lvlText w:val="●"/>
      <w:pPr>
        <w:spacing/>
        <w:ind w:left="5040" w:hanging="360"/>
      </w:pPr>
      <w:rPr/>
    </w:lvl>
    <w:lvl w:ilvl="7">
      <w:start w:val="1"/>
      <w:numFmt w:val="bullet"/>
      <w:suff w:val="tab"/>
      <w:lvlText w:val="●"/>
      <w:pPr>
        <w:spacing/>
        <w:ind w:left="5760" w:hanging="360"/>
      </w:pPr>
      <w:rPr/>
    </w:lvl>
    <w:lvl w:ilvl="8">
      <w:start w:val="1"/>
      <w:numFmt w:val="bullet"/>
      <w:suff w:val="tab"/>
      <w:lvlText w:val="●"/>
      <w:pPr>
        <w:spacing/>
        <w:ind w:left="6480" w:hanging="360"/>
      </w:pPr>
      <w:rPr/>
    </w:lvl>
  </w:abstractNum>
  <w:abstractNum w:abstractNumId="2">
    <w:nsid w:val="6ED94942"/>
    <w:lvl w:ilvl="0">
      <w:start w:val="1"/>
      <w:numFmt w:val="bullet"/>
      <w:suff w:val="tab"/>
      <w:lvlText w:val="•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7E5E1F42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isplayBackgroundShape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uiPriority w:val="9"/>
    <w:qFormat/>
    <w:pPr>
      <w:spacing w:before="320" w:after="160"/>
      <w:outlineLvl w:val="0"/>
    </w:pPr>
    <w:rPr>
      <w:b/>
      <w:bCs/>
      <w:color w:val="8B1E1E"/>
      <w:sz w:val="26"/>
      <w:szCs w:val="26"/>
    </w:rPr>
  </w:style>
  <w:style w:type="paragraph" w:styleId="Naslov2">
    <w:name w:val="Heading 2"/>
    <w:uiPriority w:val="9"/>
    <w:unhideWhenUsed/>
    <w:qFormat/>
    <w:pPr>
      <w:spacing w:before="220" w:after="120"/>
      <w:outlineLvl w:val="1"/>
    </w:pPr>
    <w:rPr>
      <w:b/>
      <w:bCs/>
      <w:color w:val="8B1E1E"/>
      <w:sz w:val="23"/>
      <w:szCs w:val="23"/>
    </w:rPr>
  </w:style>
  <w:style w:type="paragraph" w:styleId="Naslov3">
    <w:name w:val="Heading 3"/>
    <w:uiPriority w:val="9"/>
    <w:semiHidden/>
    <w:unhideWhenUsed/>
    <w:qFormat/>
    <w:pPr>
      <w:spacing/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spacing/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spacing/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spacing/>
      <w:outlineLvl w:val="5"/>
    </w:pPr>
    <w:rPr>
      <w:color w:val="1F4D78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Naslov">
    <w:name w:val="Title"/>
    <w:uiPriority w:val="10"/>
    <w:qFormat/>
    <w:pPr>
      <w:spacing/>
    </w:pPr>
    <w:rPr>
      <w:sz w:val="56"/>
      <w:szCs w:val="56"/>
    </w:rPr>
  </w:style>
  <w:style w:type="paragraph" w:styleId="Naglaeno1" w:customStyle="1">
    <w:name w:val="Naglašeno1"/>
    <w:qFormat/>
    <w:pPr>
      <w:spacing/>
    </w:pPr>
    <w:rPr>
      <w:b/>
      <w:bCs/>
    </w:rPr>
  </w:style>
  <w:style w:type="paragraph" w:styleId="Odlomakpopisa">
    <w:name w:val="List Paragraph"/>
    <w:qFormat/>
    <w:pPr>
      <w:spacing/>
    </w:pPr>
    <w:rPr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pPr>
      <w:spacing/>
    </w:pPr>
    <w:rPr>
      <w:sz w:val="20"/>
      <w:szCs w:val="20"/>
    </w:rPr>
  </w:style>
  <w:style w:type="character" w:styleId="TekstfusnoteChar" w:customStyle="1">
    <w:name w:val="Tekst fusnote Char"/>
    <w:basedOn w:val="Zadanifontodlomka"/>
    <w:link w:val="FootnoteText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škeChar"/>
    <w:uiPriority w:val="99"/>
    <w:semiHidden/>
    <w:unhideWhenUsed/>
    <w:pPr>
      <w:spacing/>
    </w:pPr>
    <w:rPr>
      <w:sz w:val="20"/>
      <w:szCs w:val="20"/>
    </w:rPr>
  </w:style>
  <w:style w:type="character" w:styleId="TekstkrajnjebiljekeChar" w:customStyle="1">
    <w:name w:val="Tekst krajnje bilješke Char"/>
    <w:basedOn w:val="Zadanifontodlomka"/>
    <w:link w:val="EndnoteText"/>
    <w:uiPriority w:val="99"/>
    <w:semiHidden/>
    <w:unhideWhenUsed/>
    <w:rPr>
      <w:sz w:val="20"/>
      <w:szCs w:val="20"/>
    </w:rPr>
  </w:style>
  <w:style w:type="paragraph" w:styleId="Default" w:customStyle="1">
    <w:name w:val="Default"/>
    <w:qFormat/>
    <w:pPr>
      <w:suppressAutoHyphens/>
      <w:autoSpaceDE w:val="false"/>
      <w:spacing/>
    </w:pPr>
    <w:rPr>
      <w:rFonts w:ascii="Times New Roman" w:hAnsi="Times New Roman" w:eastAsia="Calibri" w:cs="Times New Roman"/>
      <w:color w:val="000000"/>
      <w:sz w:val="24"/>
      <w:szCs w:val="24"/>
      <w:lang w:val="hr-HR" w:eastAsia="zh-CN"/>
    </w:rPr>
  </w:style>
  <w:style w:type="character" w:styleId="Zadanifontodlomka1" w:customStyle="1">
    <w:name w:val="Zadani font odlomka1"/>
    <w:basedOn w:val="Zadanifontodlomka"/>
    <w:rPr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/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lang w:val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8</Pages>
  <Words>2085</Words>
  <Characters>11891</Characters>
  <Application>Microsoft Office Word</Application>
  <DocSecurity>0</DocSecurity>
  <Lines>99</Lines>
  <Paragraphs>27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Tanja Boban</cp:lastModifiedBy>
  <cp:revision>3</cp:revision>
  <dcterms:created xsi:type="dcterms:W3CDTF">2026-10-09T09:09:00Z</dcterms:created>
  <dcterms:modified xsi:type="dcterms:W3CDTF">2026-10-09T09:11:00Z</dcterms:modified>
</cp:coreProperties>
</file>